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4ECF" w14:textId="77777777" w:rsidR="008C0AD5" w:rsidRPr="008C0AD5" w:rsidRDefault="00A33A9C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13D8D70E">
          <v:rect id="_x0000_i1025" style="width:0;height:1.5pt" o:hralign="center" o:hrstd="t" o:hr="t" fillcolor="#a0a0a0" stroked="f"/>
        </w:pict>
      </w:r>
    </w:p>
    <w:p w14:paraId="6B9E473E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322012E1" w14:textId="77777777" w:rsidR="003C65CE" w:rsidRPr="008C0AD5" w:rsidRDefault="00A33A9C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00BEFE1F">
          <v:rect id="_x0000_i1026" style="width:0;height:1.5pt" o:hralign="center" o:hrstd="t" o:hr="t" fillcolor="#a0a0a0" stroked="f"/>
        </w:pict>
      </w:r>
    </w:p>
    <w:p w14:paraId="1381173C" w14:textId="77777777" w:rsidR="003C65CE" w:rsidRPr="008C0AD5" w:rsidRDefault="007177F4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SECTION 4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>
        <w:rPr>
          <w:rFonts w:ascii="Arial" w:hAnsi="Arial" w:cs="Arial"/>
          <w:b/>
          <w:color w:val="001489"/>
        </w:rPr>
        <w:t>REVENUE &amp; RECEIVABLES</w:t>
      </w:r>
    </w:p>
    <w:p w14:paraId="5A6515F0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7177F4">
        <w:rPr>
          <w:rFonts w:ascii="Arial" w:hAnsi="Arial" w:cs="Arial"/>
          <w:b/>
          <w:color w:val="001489"/>
        </w:rPr>
        <w:t>4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7177F4">
        <w:rPr>
          <w:rFonts w:ascii="Arial" w:hAnsi="Arial" w:cs="Arial"/>
          <w:b/>
          <w:color w:val="001489"/>
        </w:rPr>
        <w:t>RECEIVABLES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1AE39347" w14:textId="77777777" w:rsidTr="00760096">
        <w:trPr>
          <w:trHeight w:val="567"/>
        </w:trPr>
        <w:tc>
          <w:tcPr>
            <w:tcW w:w="2093" w:type="dxa"/>
            <w:shd w:val="clear" w:color="auto" w:fill="auto"/>
          </w:tcPr>
          <w:p w14:paraId="73077A6A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00F039BC" w14:textId="77777777" w:rsidR="000F18B2" w:rsidRPr="007200D2" w:rsidRDefault="00A034EE" w:rsidP="00A034E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sz w:val="20"/>
                <w:lang w:val="en-NZ"/>
              </w:rPr>
              <w:t xml:space="preserve">It is prudent financial management that </w:t>
            </w: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 maintains adequate controls over its receivables to ensure they are accurately recorded and accounted for and </w:t>
            </w:r>
            <w:r w:rsidR="006676F7" w:rsidRPr="007200D2">
              <w:rPr>
                <w:rFonts w:ascii="Arial" w:hAnsi="Arial" w:cs="Arial"/>
                <w:sz w:val="20"/>
                <w:lang w:val="en-NZ"/>
              </w:rPr>
              <w:t>best practice</w:t>
            </w:r>
            <w:r w:rsidRPr="007200D2">
              <w:rPr>
                <w:rFonts w:ascii="Arial" w:hAnsi="Arial" w:cs="Arial"/>
                <w:sz w:val="20"/>
                <w:lang w:val="en-NZ"/>
              </w:rPr>
              <w:t>s are adopted</w:t>
            </w:r>
            <w:r w:rsidR="006676F7" w:rsidRPr="007200D2">
              <w:rPr>
                <w:rFonts w:ascii="Arial" w:hAnsi="Arial" w:cs="Arial"/>
                <w:sz w:val="20"/>
                <w:lang w:val="en-NZ"/>
              </w:rPr>
              <w:t xml:space="preserve"> to maximise cash flow and minimise exposure to bad debt risk.</w:t>
            </w:r>
          </w:p>
        </w:tc>
      </w:tr>
      <w:tr w:rsidR="006A433A" w:rsidRPr="009B00DB" w14:paraId="2847A038" w14:textId="77777777" w:rsidTr="00760096">
        <w:trPr>
          <w:trHeight w:val="567"/>
        </w:trPr>
        <w:tc>
          <w:tcPr>
            <w:tcW w:w="2093" w:type="dxa"/>
            <w:shd w:val="clear" w:color="auto" w:fill="auto"/>
          </w:tcPr>
          <w:p w14:paraId="2795C431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37945006" w14:textId="77777777" w:rsidR="00594434" w:rsidRPr="007200D2" w:rsidRDefault="00A034EE" w:rsidP="00A034E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 shall implement appropriate controls over its </w:t>
            </w:r>
            <w:r w:rsidR="00612243" w:rsidRPr="007200D2">
              <w:rPr>
                <w:rFonts w:ascii="Arial" w:hAnsi="Arial" w:cs="Arial"/>
                <w:sz w:val="20"/>
                <w:lang w:val="en-NZ"/>
              </w:rPr>
              <w:t xml:space="preserve">accounts </w:t>
            </w:r>
            <w:r w:rsidR="006676F7" w:rsidRPr="007200D2">
              <w:rPr>
                <w:rFonts w:ascii="Arial" w:hAnsi="Arial" w:cs="Arial"/>
                <w:sz w:val="20"/>
                <w:lang w:val="en-NZ"/>
              </w:rPr>
              <w:t>receivables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 to ensure</w:t>
            </w:r>
            <w:r w:rsidR="00594434" w:rsidRPr="007200D2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4FCECB8F" w14:textId="77777777" w:rsidR="00A034EE" w:rsidRPr="007200D2" w:rsidRDefault="00A034EE" w:rsidP="00A034E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All debtor invoices and receipts are recorded into in </w:t>
            </w:r>
            <w:r w:rsidRPr="007200D2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7200D2">
              <w:rPr>
                <w:rFonts w:ascii="Arial" w:hAnsi="Arial" w:cs="Arial"/>
                <w:sz w:val="20"/>
              </w:rPr>
              <w:t>’s Accounts Receivable ledger in an accurate and timely manner</w:t>
            </w:r>
          </w:p>
          <w:p w14:paraId="4B641925" w14:textId="77777777" w:rsidR="00A034EE" w:rsidRPr="007200D2" w:rsidRDefault="00A034EE" w:rsidP="00A034E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Statements for accounts receivable balances are generated and sent to debtors each month</w:t>
            </w:r>
          </w:p>
          <w:p w14:paraId="5A25855E" w14:textId="77777777" w:rsidR="00A034EE" w:rsidRPr="007200D2" w:rsidRDefault="00A034EE" w:rsidP="00A034E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Overdue accounts receivables </w:t>
            </w:r>
            <w:r w:rsidR="00922352" w:rsidRPr="007200D2">
              <w:rPr>
                <w:rFonts w:ascii="Arial" w:hAnsi="Arial" w:cs="Arial"/>
                <w:sz w:val="20"/>
              </w:rPr>
              <w:t xml:space="preserve">are </w:t>
            </w:r>
            <w:r w:rsidRPr="007200D2">
              <w:rPr>
                <w:rFonts w:ascii="Arial" w:hAnsi="Arial" w:cs="Arial"/>
                <w:sz w:val="20"/>
              </w:rPr>
              <w:t>dealt with in accordance with the Debt Collection &amp; Write-Off Policy</w:t>
            </w:r>
          </w:p>
          <w:p w14:paraId="6C7A5AAF" w14:textId="77777777" w:rsidR="00FC309B" w:rsidRPr="007200D2" w:rsidRDefault="00FC309B" w:rsidP="00A034EE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There </w:t>
            </w:r>
            <w:r w:rsidR="008D7990" w:rsidRPr="007200D2">
              <w:rPr>
                <w:rFonts w:ascii="Arial" w:hAnsi="Arial" w:cs="Arial"/>
                <w:sz w:val="20"/>
              </w:rPr>
              <w:t xml:space="preserve">is appropriate </w:t>
            </w:r>
            <w:r w:rsidRPr="007200D2">
              <w:rPr>
                <w:rFonts w:ascii="Arial" w:hAnsi="Arial" w:cs="Arial"/>
                <w:sz w:val="20"/>
              </w:rPr>
              <w:t xml:space="preserve">segregation of duties in relation to the processing of </w:t>
            </w:r>
            <w:r w:rsidR="008D7990" w:rsidRPr="007200D2">
              <w:rPr>
                <w:rFonts w:ascii="Arial" w:hAnsi="Arial" w:cs="Arial"/>
                <w:sz w:val="20"/>
              </w:rPr>
              <w:t xml:space="preserve">accounts receivable </w:t>
            </w:r>
            <w:r w:rsidRPr="007200D2">
              <w:rPr>
                <w:rFonts w:ascii="Arial" w:hAnsi="Arial" w:cs="Arial"/>
                <w:sz w:val="20"/>
              </w:rPr>
              <w:t xml:space="preserve">transactions and </w:t>
            </w:r>
            <w:r w:rsidR="008D7990" w:rsidRPr="007200D2">
              <w:rPr>
                <w:rFonts w:ascii="Arial" w:hAnsi="Arial" w:cs="Arial"/>
                <w:sz w:val="20"/>
              </w:rPr>
              <w:t xml:space="preserve">the </w:t>
            </w:r>
            <w:r w:rsidRPr="007200D2">
              <w:rPr>
                <w:rFonts w:ascii="Arial" w:hAnsi="Arial" w:cs="Arial"/>
                <w:sz w:val="20"/>
              </w:rPr>
              <w:t xml:space="preserve">processing </w:t>
            </w:r>
            <w:r w:rsidR="008D7990" w:rsidRPr="007200D2">
              <w:rPr>
                <w:rFonts w:ascii="Arial" w:hAnsi="Arial" w:cs="Arial"/>
                <w:sz w:val="20"/>
              </w:rPr>
              <w:t>of revenue receipts</w:t>
            </w:r>
          </w:p>
          <w:p w14:paraId="2CF5EF3A" w14:textId="77777777" w:rsidR="00922352" w:rsidRPr="007200D2" w:rsidRDefault="00922352" w:rsidP="00922352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That the Accounts Receivable ledger balances are actively reviewed by </w:t>
            </w:r>
            <w:r w:rsidRPr="007200D2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7200D2">
              <w:rPr>
                <w:rFonts w:ascii="Arial" w:hAnsi="Arial" w:cs="Arial"/>
                <w:sz w:val="20"/>
              </w:rPr>
              <w:t>’s CFO / Finance Manager in consultation with the relevant staff member(s) in order to maximise cash flow and minimise exposure to bad debt risk</w:t>
            </w:r>
          </w:p>
          <w:p w14:paraId="71E73D17" w14:textId="77777777" w:rsidR="00007F7A" w:rsidRPr="007200D2" w:rsidRDefault="00007F7A" w:rsidP="006676F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7200D2">
              <w:rPr>
                <w:rFonts w:ascii="Arial" w:hAnsi="Arial" w:cs="Arial"/>
                <w:sz w:val="20"/>
              </w:rPr>
              <w:t xml:space="preserve">’s Statement of Financial Position </w:t>
            </w:r>
            <w:r w:rsidR="00922352" w:rsidRPr="007200D2">
              <w:rPr>
                <w:rFonts w:ascii="Arial" w:hAnsi="Arial" w:cs="Arial"/>
                <w:sz w:val="20"/>
              </w:rPr>
              <w:t xml:space="preserve">includes a true and fair presentation of </w:t>
            </w:r>
            <w:r w:rsidR="00922352" w:rsidRPr="007200D2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922352" w:rsidRPr="007200D2">
              <w:rPr>
                <w:rFonts w:ascii="Arial" w:hAnsi="Arial" w:cs="Arial"/>
                <w:sz w:val="20"/>
              </w:rPr>
              <w:t xml:space="preserve">’s </w:t>
            </w:r>
            <w:r w:rsidRPr="007200D2">
              <w:rPr>
                <w:rFonts w:ascii="Arial" w:hAnsi="Arial" w:cs="Arial"/>
                <w:sz w:val="20"/>
              </w:rPr>
              <w:t>Accounts Receivable</w:t>
            </w:r>
          </w:p>
          <w:p w14:paraId="4F1F7DF6" w14:textId="77777777" w:rsidR="00922352" w:rsidRPr="007200D2" w:rsidRDefault="00922352" w:rsidP="0092235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 is committed to addressing debtor queries </w:t>
            </w:r>
            <w:r w:rsidR="00730102" w:rsidRPr="007200D2">
              <w:rPr>
                <w:rFonts w:ascii="Arial" w:hAnsi="Arial" w:cs="Arial"/>
                <w:sz w:val="20"/>
                <w:lang w:val="en-NZ"/>
              </w:rPr>
              <w:t xml:space="preserve">both promptly and satisfactorily, and 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in a manner </w:t>
            </w:r>
            <w:r w:rsidR="00730102" w:rsidRPr="007200D2">
              <w:rPr>
                <w:rFonts w:ascii="Arial" w:hAnsi="Arial" w:cs="Arial"/>
                <w:sz w:val="20"/>
                <w:lang w:val="en-NZ"/>
              </w:rPr>
              <w:t xml:space="preserve">to </w:t>
            </w:r>
            <w:r w:rsidRPr="007200D2">
              <w:rPr>
                <w:rFonts w:ascii="Arial" w:hAnsi="Arial" w:cs="Arial"/>
                <w:sz w:val="20"/>
                <w:lang w:val="en-NZ"/>
              </w:rPr>
              <w:t>enhanc</w:t>
            </w:r>
            <w:r w:rsidR="00730102" w:rsidRPr="007200D2">
              <w:rPr>
                <w:rFonts w:ascii="Arial" w:hAnsi="Arial" w:cs="Arial"/>
                <w:sz w:val="20"/>
                <w:lang w:val="en-NZ"/>
              </w:rPr>
              <w:t xml:space="preserve">e 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the collection of any </w:t>
            </w:r>
            <w:r w:rsidR="00730102" w:rsidRPr="007200D2">
              <w:rPr>
                <w:rFonts w:ascii="Arial" w:hAnsi="Arial" w:cs="Arial"/>
                <w:sz w:val="20"/>
                <w:lang w:val="en-NZ"/>
              </w:rPr>
              <w:t>outstanding balances.</w:t>
            </w:r>
          </w:p>
          <w:p w14:paraId="063021B5" w14:textId="7F5870AD" w:rsidR="006676F7" w:rsidRPr="007200D2" w:rsidRDefault="00730102" w:rsidP="00007F7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sz w:val="20"/>
                <w:lang w:val="en-NZ"/>
              </w:rPr>
              <w:t xml:space="preserve">In accordance with </w:t>
            </w: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</w:t>
            </w:r>
            <w:r w:rsidR="00A33A9C" w:rsidRPr="007200D2">
              <w:rPr>
                <w:rFonts w:ascii="Arial" w:hAnsi="Arial" w:cs="Arial"/>
                <w:color w:val="001489"/>
                <w:sz w:val="20"/>
                <w:lang w:val="en-NZ"/>
              </w:rPr>
              <w:t>]</w:t>
            </w:r>
            <w:r w:rsidR="00A33A9C" w:rsidRPr="007200D2">
              <w:rPr>
                <w:rFonts w:ascii="Arial" w:hAnsi="Arial" w:cs="Arial"/>
                <w:sz w:val="20"/>
                <w:lang w:val="en-NZ"/>
              </w:rPr>
              <w:t xml:space="preserve"> ‘</w:t>
            </w:r>
            <w:r w:rsidRPr="007200D2">
              <w:rPr>
                <w:rFonts w:ascii="Arial" w:hAnsi="Arial" w:cs="Arial"/>
                <w:sz w:val="20"/>
                <w:lang w:val="en-NZ"/>
              </w:rPr>
              <w:t>s</w:t>
            </w:r>
            <w:bookmarkStart w:id="0" w:name="_GoBack"/>
            <w:bookmarkEnd w:id="0"/>
            <w:r w:rsidRPr="007200D2">
              <w:rPr>
                <w:rFonts w:ascii="Arial" w:hAnsi="Arial" w:cs="Arial"/>
                <w:sz w:val="20"/>
                <w:lang w:val="en-NZ"/>
              </w:rPr>
              <w:t xml:space="preserve"> Delegated Authorities and other Revenue Policies, c</w:t>
            </w:r>
            <w:r w:rsidR="00007F7A" w:rsidRPr="007200D2">
              <w:rPr>
                <w:rFonts w:ascii="Arial" w:hAnsi="Arial" w:cs="Arial"/>
                <w:sz w:val="20"/>
                <w:lang w:val="en-NZ"/>
              </w:rPr>
              <w:t xml:space="preserve">redit notes 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shall </w:t>
            </w:r>
            <w:r w:rsidR="00007F7A" w:rsidRPr="007200D2">
              <w:rPr>
                <w:rFonts w:ascii="Arial" w:hAnsi="Arial" w:cs="Arial"/>
                <w:sz w:val="20"/>
                <w:lang w:val="en-NZ"/>
              </w:rPr>
              <w:t xml:space="preserve">only be issued </w:t>
            </w:r>
            <w:r w:rsidRPr="007200D2">
              <w:rPr>
                <w:rFonts w:ascii="Arial" w:hAnsi="Arial" w:cs="Arial"/>
                <w:sz w:val="20"/>
                <w:lang w:val="en-NZ"/>
              </w:rPr>
              <w:t>where</w:t>
            </w:r>
            <w:r w:rsidR="00007F7A" w:rsidRPr="007200D2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6515C880" w14:textId="77777777" w:rsidR="00A80461" w:rsidRPr="007200D2" w:rsidRDefault="00A80461" w:rsidP="00007F7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</w:p>
          <w:p w14:paraId="7F89E056" w14:textId="77777777" w:rsidR="00007F7A" w:rsidRPr="007200D2" w:rsidRDefault="00730102" w:rsidP="00007F7A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T</w:t>
            </w:r>
            <w:r w:rsidR="00007F7A" w:rsidRPr="007200D2">
              <w:rPr>
                <w:rFonts w:ascii="Arial" w:hAnsi="Arial" w:cs="Arial"/>
                <w:sz w:val="20"/>
              </w:rPr>
              <w:t>here is a</w:t>
            </w:r>
            <w:r w:rsidRPr="007200D2">
              <w:rPr>
                <w:rFonts w:ascii="Arial" w:hAnsi="Arial" w:cs="Arial"/>
                <w:sz w:val="20"/>
              </w:rPr>
              <w:t>n appropriate and / or authorised</w:t>
            </w:r>
            <w:r w:rsidR="00007F7A" w:rsidRPr="007200D2">
              <w:rPr>
                <w:rFonts w:ascii="Arial" w:hAnsi="Arial" w:cs="Arial"/>
                <w:sz w:val="20"/>
              </w:rPr>
              <w:t xml:space="preserve"> need to decrease the price and / or quantity of goods or services invoiced</w:t>
            </w:r>
          </w:p>
          <w:p w14:paraId="67703D4C" w14:textId="749D6F58" w:rsidR="008D7990" w:rsidRPr="007200D2" w:rsidRDefault="00666F74" w:rsidP="00730102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T</w:t>
            </w:r>
            <w:r w:rsidR="00007F7A" w:rsidRPr="007200D2">
              <w:rPr>
                <w:rFonts w:ascii="Arial" w:hAnsi="Arial" w:cs="Arial"/>
                <w:sz w:val="20"/>
              </w:rPr>
              <w:t xml:space="preserve">here is a bad debt and a credit note is required to affect the removal of the balance owing from the </w:t>
            </w:r>
            <w:r w:rsidR="00BF45FB" w:rsidRPr="007200D2">
              <w:rPr>
                <w:rFonts w:ascii="Arial" w:hAnsi="Arial" w:cs="Arial"/>
                <w:sz w:val="20"/>
              </w:rPr>
              <w:t>account’s</w:t>
            </w:r>
            <w:r w:rsidR="00007F7A" w:rsidRPr="007200D2">
              <w:rPr>
                <w:rFonts w:ascii="Arial" w:hAnsi="Arial" w:cs="Arial"/>
                <w:sz w:val="20"/>
              </w:rPr>
              <w:t xml:space="preserve"> receivable ledger</w:t>
            </w:r>
          </w:p>
          <w:p w14:paraId="57EC88C4" w14:textId="77777777" w:rsidR="00612243" w:rsidRPr="007200D2" w:rsidRDefault="00612243" w:rsidP="00612243">
            <w:pPr>
              <w:pStyle w:val="ListParagraph"/>
              <w:numPr>
                <w:ilvl w:val="0"/>
                <w:numId w:val="9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Overpaid invoices will only be refunded provided that there are no other outstanding balances</w:t>
            </w:r>
          </w:p>
        </w:tc>
      </w:tr>
      <w:tr w:rsidR="009B00DB" w:rsidRPr="009B00DB" w14:paraId="287291A8" w14:textId="77777777" w:rsidTr="00760096">
        <w:trPr>
          <w:trHeight w:val="567"/>
        </w:trPr>
        <w:tc>
          <w:tcPr>
            <w:tcW w:w="2093" w:type="dxa"/>
            <w:shd w:val="clear" w:color="auto" w:fill="auto"/>
          </w:tcPr>
          <w:p w14:paraId="5EDA5617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792590B6" w14:textId="77777777" w:rsidR="00250FC2" w:rsidRPr="007200D2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612243" w:rsidRPr="007200D2">
              <w:rPr>
                <w:rFonts w:ascii="Arial" w:hAnsi="Arial" w:cs="Arial"/>
                <w:sz w:val="20"/>
                <w:lang w:val="en-NZ"/>
              </w:rPr>
              <w:t>Receivables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7200D2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7200D2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312D8696" w14:textId="77777777" w:rsidR="00B730EF" w:rsidRPr="007200D2" w:rsidRDefault="00730102" w:rsidP="00530D2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200D2">
              <w:rPr>
                <w:rFonts w:ascii="Arial" w:hAnsi="Arial" w:cs="Arial"/>
                <w:sz w:val="20"/>
                <w:lang w:val="en-NZ"/>
              </w:rPr>
              <w:t>’s Audit, Finance &amp; Risk Committee may request that the External Auditors review recei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 xml:space="preserve">vables </w:t>
            </w:r>
            <w:r w:rsidRPr="007200D2">
              <w:rPr>
                <w:rFonts w:ascii="Arial" w:hAnsi="Arial" w:cs="Arial"/>
                <w:sz w:val="20"/>
                <w:lang w:val="en-NZ"/>
              </w:rPr>
              <w:t>as part of the annual audit.</w:t>
            </w:r>
          </w:p>
          <w:p w14:paraId="3A90F4B2" w14:textId="77777777" w:rsidR="00B730EF" w:rsidRPr="007200D2" w:rsidRDefault="008C2138" w:rsidP="00530D2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200D2">
              <w:rPr>
                <w:rFonts w:ascii="Arial" w:hAnsi="Arial" w:cs="Arial"/>
                <w:sz w:val="20"/>
                <w:lang w:val="en-NZ"/>
              </w:rPr>
              <w:t xml:space="preserve">’s CFO / Finance Manager 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 xml:space="preserve">is responsible for developing and </w:t>
            </w:r>
            <w:r w:rsidR="00A40143" w:rsidRPr="007200D2">
              <w:rPr>
                <w:rFonts w:ascii="Arial" w:hAnsi="Arial" w:cs="Arial"/>
                <w:sz w:val="20"/>
                <w:lang w:val="en-NZ"/>
              </w:rPr>
              <w:t>implement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>ing</w:t>
            </w:r>
            <w:r w:rsidR="00A40143" w:rsidRPr="007200D2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 xml:space="preserve">controls and </w:t>
            </w:r>
            <w:r w:rsidR="00A40143" w:rsidRPr="007200D2">
              <w:rPr>
                <w:rFonts w:ascii="Arial" w:hAnsi="Arial" w:cs="Arial"/>
                <w:sz w:val="20"/>
                <w:lang w:val="en-NZ"/>
              </w:rPr>
              <w:t xml:space="preserve">procedures for the </w:t>
            </w:r>
            <w:r w:rsidR="00730102" w:rsidRPr="007200D2">
              <w:rPr>
                <w:rFonts w:ascii="Arial" w:hAnsi="Arial" w:cs="Arial"/>
                <w:sz w:val="20"/>
                <w:lang w:val="en-NZ"/>
              </w:rPr>
              <w:t xml:space="preserve">recording, </w:t>
            </w:r>
            <w:r w:rsidR="00A40143" w:rsidRPr="007200D2">
              <w:rPr>
                <w:rFonts w:ascii="Arial" w:hAnsi="Arial" w:cs="Arial"/>
                <w:sz w:val="20"/>
                <w:lang w:val="en-NZ"/>
              </w:rPr>
              <w:t>monitoring and collection of accounts receivables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>,</w:t>
            </w:r>
            <w:r w:rsidR="00A40143" w:rsidRPr="007200D2">
              <w:rPr>
                <w:rFonts w:ascii="Arial" w:hAnsi="Arial" w:cs="Arial"/>
                <w:sz w:val="20"/>
                <w:lang w:val="en-NZ"/>
              </w:rPr>
              <w:t xml:space="preserve"> as well as the 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 xml:space="preserve">controls and </w:t>
            </w:r>
            <w:r w:rsidR="00A40143" w:rsidRPr="007200D2">
              <w:rPr>
                <w:rFonts w:ascii="Arial" w:hAnsi="Arial" w:cs="Arial"/>
                <w:sz w:val="20"/>
                <w:lang w:val="en-NZ"/>
              </w:rPr>
              <w:t>procedures for issuing credit notes and refunding overpaid invoice balances.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 xml:space="preserve"> He / she is also responsible for providing </w:t>
            </w:r>
            <w:r w:rsidR="00B730EF" w:rsidRPr="007200D2">
              <w:rPr>
                <w:rFonts w:ascii="Arial" w:hAnsi="Arial" w:cs="Arial"/>
                <w:sz w:val="20"/>
              </w:rPr>
              <w:t xml:space="preserve">[quarterly] reports to the Audit, Finance &amp; Risk Committee on the status of </w:t>
            </w:r>
            <w:r w:rsidR="00B730EF" w:rsidRPr="007200D2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B730EF" w:rsidRPr="007200D2">
              <w:rPr>
                <w:rFonts w:ascii="Arial" w:hAnsi="Arial" w:cs="Arial"/>
                <w:sz w:val="20"/>
              </w:rPr>
              <w:t xml:space="preserve">’s </w:t>
            </w:r>
            <w:r w:rsidR="00B730EF" w:rsidRPr="007200D2">
              <w:rPr>
                <w:rFonts w:ascii="Arial" w:hAnsi="Arial" w:cs="Arial"/>
                <w:sz w:val="20"/>
                <w:lang w:val="en-NZ"/>
              </w:rPr>
              <w:t xml:space="preserve">accounts receivable </w:t>
            </w:r>
            <w:r w:rsidR="00B730EF" w:rsidRPr="007200D2">
              <w:rPr>
                <w:rFonts w:ascii="Arial" w:hAnsi="Arial" w:cs="Arial"/>
                <w:sz w:val="20"/>
              </w:rPr>
              <w:t>balances.</w:t>
            </w:r>
          </w:p>
          <w:p w14:paraId="66082016" w14:textId="77777777" w:rsidR="0004519C" w:rsidRPr="007200D2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200D2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7200D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7200D2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60C3DA82" w14:textId="77777777" w:rsidR="004D2798" w:rsidRPr="007200D2" w:rsidRDefault="004D2798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Finance Manual</w:t>
            </w:r>
          </w:p>
          <w:p w14:paraId="54A2AA5B" w14:textId="77777777" w:rsidR="00250FC2" w:rsidRPr="007200D2" w:rsidRDefault="00250FC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Delegated Authorities Policy</w:t>
            </w:r>
          </w:p>
          <w:p w14:paraId="7F6E4BEE" w14:textId="77777777" w:rsidR="00F5780E" w:rsidRPr="007200D2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Accountability, Internal Controls &amp; Audit</w:t>
            </w:r>
            <w:r w:rsidR="00F5780E" w:rsidRPr="007200D2">
              <w:rPr>
                <w:rFonts w:ascii="Arial" w:hAnsi="Arial" w:cs="Arial"/>
                <w:sz w:val="20"/>
              </w:rPr>
              <w:t xml:space="preserve"> Policy</w:t>
            </w:r>
          </w:p>
          <w:p w14:paraId="4563F8B9" w14:textId="77777777" w:rsidR="00F5780E" w:rsidRPr="007200D2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Financial Systems &amp; Procedures </w:t>
            </w:r>
            <w:r w:rsidR="00F5780E" w:rsidRPr="007200D2">
              <w:rPr>
                <w:rFonts w:ascii="Arial" w:hAnsi="Arial" w:cs="Arial"/>
                <w:sz w:val="20"/>
              </w:rPr>
              <w:t>Policy</w:t>
            </w:r>
          </w:p>
          <w:p w14:paraId="2749B670" w14:textId="77777777" w:rsidR="00F5780E" w:rsidRPr="007200D2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Revenue &amp; Receipting </w:t>
            </w:r>
            <w:r w:rsidR="00F5780E" w:rsidRPr="007200D2">
              <w:rPr>
                <w:rFonts w:ascii="Arial" w:hAnsi="Arial" w:cs="Arial"/>
                <w:sz w:val="20"/>
              </w:rPr>
              <w:t>Policy</w:t>
            </w:r>
          </w:p>
          <w:p w14:paraId="51E8A95F" w14:textId="77777777" w:rsidR="00C96AB5" w:rsidRPr="007200D2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 xml:space="preserve">Debt Collection and Write-Off </w:t>
            </w:r>
            <w:r w:rsidR="00C96AB5" w:rsidRPr="007200D2">
              <w:rPr>
                <w:rFonts w:ascii="Arial" w:hAnsi="Arial" w:cs="Arial"/>
                <w:sz w:val="20"/>
              </w:rPr>
              <w:t>Policy</w:t>
            </w:r>
          </w:p>
          <w:p w14:paraId="1FB8591A" w14:textId="77777777" w:rsidR="00730102" w:rsidRPr="007200D2" w:rsidRDefault="0073010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200D2">
              <w:rPr>
                <w:rFonts w:ascii="Arial" w:hAnsi="Arial" w:cs="Arial"/>
                <w:sz w:val="20"/>
              </w:rPr>
              <w:t>Tax Policy</w:t>
            </w:r>
          </w:p>
          <w:p w14:paraId="64BFAEB4" w14:textId="77777777" w:rsidR="005F63FF" w:rsidRPr="007200D2" w:rsidRDefault="005F63FF" w:rsidP="005F63FF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5230E9F7" w14:textId="77777777" w:rsidR="005F63FF" w:rsidRPr="007200D2" w:rsidRDefault="005F63FF" w:rsidP="005F63FF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65B694AD" w14:textId="289E0BA1" w:rsidR="005F63FF" w:rsidRPr="007200D2" w:rsidRDefault="005F63FF" w:rsidP="005F63FF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</w:tc>
      </w:tr>
      <w:tr w:rsidR="00953BE0" w:rsidRPr="009B00DB" w14:paraId="50D3AFB1" w14:textId="77777777" w:rsidTr="00760096">
        <w:trPr>
          <w:trHeight w:val="567"/>
        </w:trPr>
        <w:tc>
          <w:tcPr>
            <w:tcW w:w="2093" w:type="dxa"/>
            <w:shd w:val="clear" w:color="auto" w:fill="auto"/>
          </w:tcPr>
          <w:p w14:paraId="4E4AA795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210BD8E5" w14:textId="77777777" w:rsidR="00666F74" w:rsidRDefault="00666F74" w:rsidP="00666F7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Consumer Guarantees Act 1993</w:t>
            </w:r>
          </w:p>
          <w:p w14:paraId="5E8C93E5" w14:textId="77777777" w:rsidR="00530D2A" w:rsidRDefault="00666F74" w:rsidP="00666F7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 Trading Act 1986</w:t>
            </w:r>
          </w:p>
          <w:p w14:paraId="521295B3" w14:textId="653D8E32" w:rsidR="00666F74" w:rsidRPr="00530D2A" w:rsidRDefault="00A80461" w:rsidP="00666F7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3 of the Contract and Commercial Law Act 2017</w:t>
            </w:r>
          </w:p>
          <w:p w14:paraId="2E05E83E" w14:textId="77777777" w:rsidR="009C141B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GST Act 1985</w:t>
            </w:r>
            <w:r w:rsidRPr="00E9533D">
              <w:rPr>
                <w:rFonts w:ascii="Arial" w:hAnsi="Arial" w:cs="Arial"/>
                <w:sz w:val="20"/>
              </w:rPr>
              <w:t xml:space="preserve"> </w:t>
            </w:r>
          </w:p>
          <w:p w14:paraId="33AB61CC" w14:textId="77777777" w:rsidR="00953BE0" w:rsidRPr="007D2ADA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Tax Administration Act 1994</w:t>
            </w:r>
          </w:p>
        </w:tc>
      </w:tr>
      <w:tr w:rsidR="00953BE0" w:rsidRPr="009B00DB" w14:paraId="394E85E1" w14:textId="77777777" w:rsidTr="00760096">
        <w:trPr>
          <w:trHeight w:val="567"/>
        </w:trPr>
        <w:tc>
          <w:tcPr>
            <w:tcW w:w="2093" w:type="dxa"/>
            <w:shd w:val="clear" w:color="auto" w:fill="auto"/>
          </w:tcPr>
          <w:p w14:paraId="6407F84F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20CDD4D4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136A9299" w14:textId="245EFB0E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A80461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A86B94A" w14:textId="6FF8CECB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A80461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1D7F578D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1472D16C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0B92" w14:textId="77777777" w:rsidR="00006635" w:rsidRDefault="00006635">
      <w:r>
        <w:separator/>
      </w:r>
    </w:p>
  </w:endnote>
  <w:endnote w:type="continuationSeparator" w:id="0">
    <w:p w14:paraId="003E8AAF" w14:textId="77777777" w:rsidR="00006635" w:rsidRDefault="000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0016" w14:textId="5AE16FB0" w:rsidR="00083FEC" w:rsidRPr="00C96AB5" w:rsidRDefault="00083FEC" w:rsidP="00666F74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3C86" w14:textId="77777777" w:rsidR="00006635" w:rsidRDefault="00006635">
      <w:r>
        <w:separator/>
      </w:r>
    </w:p>
  </w:footnote>
  <w:footnote w:type="continuationSeparator" w:id="0">
    <w:p w14:paraId="6EEC3A22" w14:textId="77777777" w:rsidR="00006635" w:rsidRDefault="0000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8DA4" w14:textId="77777777" w:rsidR="007200D2" w:rsidRPr="00297518" w:rsidRDefault="007200D2" w:rsidP="007200D2">
    <w:pPr>
      <w:pStyle w:val="Header"/>
      <w:rPr>
        <w:lang w:val="en-US"/>
      </w:rPr>
    </w:pPr>
    <w:r>
      <w:rPr>
        <w:lang w:val="en-US"/>
      </w:rPr>
      <w:t>{INSERT ORGANISATION LOGO}</w:t>
    </w:r>
  </w:p>
  <w:p w14:paraId="34C68242" w14:textId="71671BF9" w:rsidR="0057784E" w:rsidRDefault="00577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06BE1"/>
    <w:multiLevelType w:val="hybridMultilevel"/>
    <w:tmpl w:val="D3D648A0"/>
    <w:lvl w:ilvl="0" w:tplc="1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6635"/>
    <w:rsid w:val="00007F7A"/>
    <w:rsid w:val="000321FB"/>
    <w:rsid w:val="00032971"/>
    <w:rsid w:val="0004519C"/>
    <w:rsid w:val="00070B51"/>
    <w:rsid w:val="00083FEC"/>
    <w:rsid w:val="000F18B2"/>
    <w:rsid w:val="00110105"/>
    <w:rsid w:val="001409F1"/>
    <w:rsid w:val="001E00F4"/>
    <w:rsid w:val="001E4F5E"/>
    <w:rsid w:val="001F4B72"/>
    <w:rsid w:val="001F7EFD"/>
    <w:rsid w:val="00250FC2"/>
    <w:rsid w:val="00250FF1"/>
    <w:rsid w:val="00252D69"/>
    <w:rsid w:val="002B717F"/>
    <w:rsid w:val="002F0241"/>
    <w:rsid w:val="003436BE"/>
    <w:rsid w:val="00365A0B"/>
    <w:rsid w:val="0036711E"/>
    <w:rsid w:val="003C65CE"/>
    <w:rsid w:val="003D6FB9"/>
    <w:rsid w:val="004463D3"/>
    <w:rsid w:val="004C5442"/>
    <w:rsid w:val="004D2798"/>
    <w:rsid w:val="00530D2A"/>
    <w:rsid w:val="0057784E"/>
    <w:rsid w:val="00594434"/>
    <w:rsid w:val="005A75D9"/>
    <w:rsid w:val="005E765B"/>
    <w:rsid w:val="005F63FF"/>
    <w:rsid w:val="00600EB3"/>
    <w:rsid w:val="00612243"/>
    <w:rsid w:val="00623C32"/>
    <w:rsid w:val="00653B7E"/>
    <w:rsid w:val="00666F74"/>
    <w:rsid w:val="006676F7"/>
    <w:rsid w:val="006A433A"/>
    <w:rsid w:val="006F7EC6"/>
    <w:rsid w:val="007177F4"/>
    <w:rsid w:val="007200D2"/>
    <w:rsid w:val="00730102"/>
    <w:rsid w:val="00760096"/>
    <w:rsid w:val="00796CE5"/>
    <w:rsid w:val="007B5A64"/>
    <w:rsid w:val="007C2CCD"/>
    <w:rsid w:val="007D00BA"/>
    <w:rsid w:val="008066FB"/>
    <w:rsid w:val="00873C0C"/>
    <w:rsid w:val="008C0AD5"/>
    <w:rsid w:val="008C2138"/>
    <w:rsid w:val="008D7990"/>
    <w:rsid w:val="00922352"/>
    <w:rsid w:val="00950432"/>
    <w:rsid w:val="00953BE0"/>
    <w:rsid w:val="009673BF"/>
    <w:rsid w:val="009A1D43"/>
    <w:rsid w:val="009A5CDF"/>
    <w:rsid w:val="009A6640"/>
    <w:rsid w:val="009B00DB"/>
    <w:rsid w:val="009C141B"/>
    <w:rsid w:val="00A034EE"/>
    <w:rsid w:val="00A327F6"/>
    <w:rsid w:val="00A33A9C"/>
    <w:rsid w:val="00A400C0"/>
    <w:rsid w:val="00A40143"/>
    <w:rsid w:val="00A80461"/>
    <w:rsid w:val="00AA0FC5"/>
    <w:rsid w:val="00B730EF"/>
    <w:rsid w:val="00B96265"/>
    <w:rsid w:val="00BB014B"/>
    <w:rsid w:val="00BE13E0"/>
    <w:rsid w:val="00BE14FA"/>
    <w:rsid w:val="00BE3310"/>
    <w:rsid w:val="00BF19CC"/>
    <w:rsid w:val="00BF45FB"/>
    <w:rsid w:val="00C34A6E"/>
    <w:rsid w:val="00C74405"/>
    <w:rsid w:val="00C77A59"/>
    <w:rsid w:val="00C83791"/>
    <w:rsid w:val="00C96AB5"/>
    <w:rsid w:val="00CD4C82"/>
    <w:rsid w:val="00CE2850"/>
    <w:rsid w:val="00E577D0"/>
    <w:rsid w:val="00E76110"/>
    <w:rsid w:val="00EC2DB1"/>
    <w:rsid w:val="00ED67FF"/>
    <w:rsid w:val="00F5780E"/>
    <w:rsid w:val="00FC309B"/>
    <w:rsid w:val="00FC5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CE1C6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0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02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02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71"/>
    <w:rsid w:val="00666F74"/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200D2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15</cp:revision>
  <cp:lastPrinted>2012-07-03T04:54:00Z</cp:lastPrinted>
  <dcterms:created xsi:type="dcterms:W3CDTF">2012-07-03T04:51:00Z</dcterms:created>
  <dcterms:modified xsi:type="dcterms:W3CDTF">2019-02-13T19:50:00Z</dcterms:modified>
</cp:coreProperties>
</file>