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20"/>
        <w:gridCol w:w="1417"/>
      </w:tblGrid>
      <w:tr w:rsidR="004C7867" w:rsidRPr="003C03F0" w14:paraId="1BDEC3B5" w14:textId="77777777" w:rsidTr="00F77AD3">
        <w:trPr>
          <w:trHeight w:val="1275"/>
        </w:trPr>
        <w:tc>
          <w:tcPr>
            <w:tcW w:w="8220" w:type="dxa"/>
            <w:vAlign w:val="bottom"/>
          </w:tcPr>
          <w:p w14:paraId="382E10DC" w14:textId="543B3AEB" w:rsidR="004C7867" w:rsidRPr="003C03F0" w:rsidRDefault="004C7867" w:rsidP="00F77AD3">
            <w:pPr>
              <w:snapToGrid w:val="0"/>
              <w:spacing w:line="192" w:lineRule="auto"/>
              <w:rPr>
                <w:rFonts w:ascii="Barlow" w:hAnsi="Barlow"/>
                <w:b/>
                <w:bCs/>
                <w:color w:val="BE1D37"/>
                <w:sz w:val="76"/>
                <w:szCs w:val="76"/>
              </w:rPr>
            </w:pPr>
            <w:bookmarkStart w:id="0" w:name="_Hlk128491851"/>
            <w:r w:rsidRPr="003C03F0">
              <w:rPr>
                <w:rFonts w:ascii="Barlow" w:hAnsi="Barlow"/>
                <w:b/>
                <w:bCs/>
                <w:color w:val="BE1D37"/>
                <w:sz w:val="76"/>
                <w:szCs w:val="76"/>
              </w:rPr>
              <w:t>Checklist</w:t>
            </w:r>
          </w:p>
          <w:p w14:paraId="5A499180" w14:textId="77777777" w:rsidR="004C7867" w:rsidRPr="003C03F0" w:rsidRDefault="004C7867" w:rsidP="00F77AD3">
            <w:pPr>
              <w:spacing w:before="82"/>
              <w:ind w:left="120"/>
              <w:rPr>
                <w:rFonts w:ascii="Barlow" w:hAnsi="Barlow"/>
                <w:b/>
                <w:sz w:val="24"/>
              </w:rPr>
            </w:pPr>
            <w:r w:rsidRPr="003C03F0">
              <w:rPr>
                <w:rFonts w:ascii="Barlow" w:hAnsi="Barlow"/>
                <w:b/>
                <w:color w:val="808285"/>
                <w:sz w:val="24"/>
              </w:rPr>
              <w:t xml:space="preserve">Incorporated Societies Act </w:t>
            </w:r>
          </w:p>
        </w:tc>
        <w:tc>
          <w:tcPr>
            <w:tcW w:w="1417" w:type="dxa"/>
          </w:tcPr>
          <w:p w14:paraId="535FC393" w14:textId="77777777" w:rsidR="004C7867" w:rsidRPr="003C03F0" w:rsidRDefault="004C7867" w:rsidP="00F77AD3">
            <w:pPr>
              <w:snapToGrid w:val="0"/>
              <w:spacing w:line="264" w:lineRule="auto"/>
              <w:jc w:val="right"/>
              <w:rPr>
                <w:rFonts w:ascii="Barlow" w:hAnsi="Barlow"/>
                <w:sz w:val="21"/>
                <w:szCs w:val="21"/>
              </w:rPr>
            </w:pPr>
            <w:r w:rsidRPr="003C03F0">
              <w:rPr>
                <w:rFonts w:ascii="Barlow" w:hAnsi="Barlow"/>
                <w:noProof/>
                <w:sz w:val="21"/>
                <w:szCs w:val="21"/>
              </w:rPr>
              <w:drawing>
                <wp:inline distT="0" distB="0" distL="0" distR="0" wp14:anchorId="771C0B16" wp14:editId="09E23DF0">
                  <wp:extent cx="738000" cy="900000"/>
                  <wp:effectExtent l="0" t="0" r="0" b="190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rt NZ Ihi Aotearo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8000" cy="900000"/>
                          </a:xfrm>
                          <a:prstGeom prst="rect">
                            <a:avLst/>
                          </a:prstGeom>
                        </pic:spPr>
                      </pic:pic>
                    </a:graphicData>
                  </a:graphic>
                </wp:inline>
              </w:drawing>
            </w:r>
          </w:p>
        </w:tc>
      </w:tr>
      <w:tr w:rsidR="004C7867" w:rsidRPr="003C03F0" w14:paraId="1D2D33D6" w14:textId="77777777" w:rsidTr="00F77AD3">
        <w:tc>
          <w:tcPr>
            <w:tcW w:w="8220" w:type="dxa"/>
            <w:tcBorders>
              <w:bottom w:val="single" w:sz="8" w:space="0" w:color="BE1D37"/>
            </w:tcBorders>
          </w:tcPr>
          <w:p w14:paraId="4C06C068" w14:textId="77777777" w:rsidR="004C7867" w:rsidRPr="003C03F0" w:rsidRDefault="004C7867" w:rsidP="00F77AD3">
            <w:pPr>
              <w:snapToGrid w:val="0"/>
              <w:rPr>
                <w:rFonts w:ascii="Barlow" w:hAnsi="Barlow"/>
                <w:color w:val="808282"/>
              </w:rPr>
            </w:pPr>
          </w:p>
        </w:tc>
        <w:tc>
          <w:tcPr>
            <w:tcW w:w="1417" w:type="dxa"/>
            <w:tcBorders>
              <w:bottom w:val="single" w:sz="8" w:space="0" w:color="BE1D37"/>
            </w:tcBorders>
          </w:tcPr>
          <w:p w14:paraId="3A1044D3" w14:textId="77777777" w:rsidR="004C7867" w:rsidRPr="003C03F0" w:rsidRDefault="004C7867" w:rsidP="00F77AD3">
            <w:pPr>
              <w:snapToGrid w:val="0"/>
              <w:jc w:val="right"/>
              <w:rPr>
                <w:rFonts w:ascii="Barlow" w:hAnsi="Barlow"/>
                <w:noProof/>
                <w:sz w:val="21"/>
                <w:szCs w:val="21"/>
              </w:rPr>
            </w:pPr>
          </w:p>
        </w:tc>
      </w:tr>
    </w:tbl>
    <w:p w14:paraId="6A2A62C5" w14:textId="77777777" w:rsidR="004C7867" w:rsidRPr="003C03F0" w:rsidRDefault="004C7867" w:rsidP="004C7867">
      <w:pPr>
        <w:pStyle w:val="Header"/>
        <w:rPr>
          <w:rFonts w:ascii="Barlow" w:hAnsi="Barlow"/>
        </w:rPr>
      </w:pPr>
    </w:p>
    <w:p w14:paraId="70B10C7A" w14:textId="4869F694" w:rsidR="00CD50E6" w:rsidRPr="003C03F0" w:rsidRDefault="00CD50E6" w:rsidP="00033102">
      <w:pPr>
        <w:rPr>
          <w:rFonts w:ascii="Barlow" w:hAnsi="Barlow"/>
          <w:b/>
          <w:bCs/>
          <w:color w:val="C00000"/>
          <w:sz w:val="24"/>
          <w:szCs w:val="24"/>
          <w:lang w:val="en-US"/>
        </w:rPr>
      </w:pPr>
      <w:r w:rsidRPr="003C03F0">
        <w:rPr>
          <w:rFonts w:ascii="Barlow" w:hAnsi="Barlow"/>
          <w:b/>
          <w:bCs/>
          <w:color w:val="C00000"/>
          <w:sz w:val="24"/>
          <w:szCs w:val="24"/>
          <w:lang w:val="en-US"/>
        </w:rPr>
        <w:t xml:space="preserve">Checklist of matters required to be in </w:t>
      </w:r>
      <w:r w:rsidR="005D4D29" w:rsidRPr="003C03F0">
        <w:rPr>
          <w:rFonts w:ascii="Barlow" w:hAnsi="Barlow"/>
          <w:b/>
          <w:bCs/>
          <w:color w:val="C00000"/>
          <w:sz w:val="24"/>
          <w:szCs w:val="24"/>
          <w:lang w:val="en-US"/>
        </w:rPr>
        <w:t>the</w:t>
      </w:r>
      <w:r w:rsidRPr="003C03F0">
        <w:rPr>
          <w:rFonts w:ascii="Barlow" w:hAnsi="Barlow"/>
          <w:b/>
          <w:bCs/>
          <w:color w:val="C00000"/>
          <w:sz w:val="24"/>
          <w:szCs w:val="24"/>
          <w:lang w:val="en-US"/>
        </w:rPr>
        <w:t xml:space="preserve"> constitution </w:t>
      </w:r>
      <w:r w:rsidR="00593221" w:rsidRPr="003C03F0">
        <w:rPr>
          <w:rFonts w:ascii="Barlow" w:hAnsi="Barlow"/>
          <w:b/>
          <w:bCs/>
          <w:color w:val="C00000"/>
          <w:sz w:val="24"/>
          <w:szCs w:val="24"/>
          <w:lang w:val="en-US"/>
        </w:rPr>
        <w:br/>
      </w:r>
      <w:r w:rsidRPr="003C03F0">
        <w:rPr>
          <w:rFonts w:ascii="Barlow" w:hAnsi="Barlow"/>
          <w:b/>
          <w:bCs/>
          <w:color w:val="C00000"/>
          <w:sz w:val="24"/>
          <w:szCs w:val="24"/>
          <w:lang w:val="en-US"/>
        </w:rPr>
        <w:t xml:space="preserve">under </w:t>
      </w:r>
      <w:r w:rsidR="005D4D29" w:rsidRPr="003C03F0">
        <w:rPr>
          <w:rFonts w:ascii="Barlow" w:hAnsi="Barlow"/>
          <w:b/>
          <w:bCs/>
          <w:color w:val="C00000"/>
          <w:sz w:val="24"/>
          <w:szCs w:val="24"/>
          <w:lang w:val="en-US"/>
        </w:rPr>
        <w:t>section 26</w:t>
      </w:r>
      <w:r w:rsidR="002E7832" w:rsidRPr="003C03F0">
        <w:rPr>
          <w:rFonts w:ascii="Barlow" w:hAnsi="Barlow"/>
          <w:b/>
          <w:bCs/>
          <w:color w:val="C00000"/>
          <w:sz w:val="24"/>
          <w:szCs w:val="24"/>
          <w:lang w:val="en-US"/>
        </w:rPr>
        <w:t>(1)</w:t>
      </w:r>
      <w:r w:rsidR="005D4D29" w:rsidRPr="003C03F0">
        <w:rPr>
          <w:rFonts w:ascii="Barlow" w:hAnsi="Barlow"/>
          <w:b/>
          <w:bCs/>
          <w:color w:val="C00000"/>
          <w:sz w:val="24"/>
          <w:szCs w:val="24"/>
          <w:lang w:val="en-US"/>
        </w:rPr>
        <w:t xml:space="preserve"> of the</w:t>
      </w:r>
      <w:r w:rsidRPr="003C03F0">
        <w:rPr>
          <w:rFonts w:ascii="Barlow" w:hAnsi="Barlow"/>
          <w:b/>
          <w:bCs/>
          <w:color w:val="C00000"/>
          <w:sz w:val="24"/>
          <w:szCs w:val="24"/>
          <w:lang w:val="en-US"/>
        </w:rPr>
        <w:t xml:space="preserve"> Incorporated Societies Act 2022</w:t>
      </w:r>
    </w:p>
    <w:p w14:paraId="047D0456" w14:textId="27339D3C" w:rsidR="009C5309" w:rsidRPr="003C03F0" w:rsidRDefault="006A2AF2" w:rsidP="009C5309">
      <w:pPr>
        <w:rPr>
          <w:rFonts w:ascii="Barlow" w:hAnsi="Barlow"/>
          <w:lang w:val="en-US"/>
        </w:rPr>
      </w:pPr>
      <w:bookmarkStart w:id="1" w:name="_Hlk145518358"/>
      <w:r w:rsidRPr="003C03F0">
        <w:rPr>
          <w:rFonts w:ascii="Barlow" w:hAnsi="Barlow"/>
          <w:lang w:val="en-US"/>
        </w:rPr>
        <w:t xml:space="preserve">This checklist can be used to review your current rules/constitution for compliance with the new requirements under the Act.  </w:t>
      </w:r>
    </w:p>
    <w:tbl>
      <w:tblPr>
        <w:tblStyle w:val="TableGrid"/>
        <w:tblW w:w="0" w:type="auto"/>
        <w:tblLook w:val="04A0" w:firstRow="1" w:lastRow="0" w:firstColumn="1" w:lastColumn="0" w:noHBand="0" w:noVBand="1"/>
      </w:tblPr>
      <w:tblGrid>
        <w:gridCol w:w="7196"/>
        <w:gridCol w:w="1864"/>
      </w:tblGrid>
      <w:tr w:rsidR="00C93F24" w:rsidRPr="003C03F0" w14:paraId="4070A049" w14:textId="77777777" w:rsidTr="003C03F0">
        <w:trPr>
          <w:tblHeader/>
        </w:trPr>
        <w:tc>
          <w:tcPr>
            <w:tcW w:w="7196" w:type="dxa"/>
            <w:shd w:val="clear" w:color="auto" w:fill="F2F2F2" w:themeFill="background1" w:themeFillShade="F2"/>
          </w:tcPr>
          <w:bookmarkEnd w:id="1"/>
          <w:p w14:paraId="5DBDDB37" w14:textId="04127721" w:rsidR="00C93F24" w:rsidRPr="003C03F0" w:rsidRDefault="00C93F24" w:rsidP="00A31B0A">
            <w:pPr>
              <w:rPr>
                <w:rFonts w:ascii="Barlow" w:hAnsi="Barlow"/>
                <w:b/>
                <w:bCs/>
                <w:lang w:val="en-US"/>
              </w:rPr>
            </w:pPr>
            <w:r w:rsidRPr="003C03F0">
              <w:rPr>
                <w:rFonts w:ascii="Barlow" w:hAnsi="Barlow"/>
                <w:b/>
                <w:bCs/>
                <w:lang w:val="en-US"/>
              </w:rPr>
              <w:t>Section 26</w:t>
            </w:r>
            <w:r w:rsidR="0059324B" w:rsidRPr="003C03F0">
              <w:rPr>
                <w:rFonts w:ascii="Barlow" w:hAnsi="Barlow"/>
                <w:b/>
                <w:bCs/>
                <w:lang w:val="en-US"/>
              </w:rPr>
              <w:t>(1)</w:t>
            </w:r>
          </w:p>
        </w:tc>
        <w:tc>
          <w:tcPr>
            <w:tcW w:w="1864" w:type="dxa"/>
            <w:shd w:val="clear" w:color="auto" w:fill="F2F2F2" w:themeFill="background1" w:themeFillShade="F2"/>
          </w:tcPr>
          <w:p w14:paraId="578FBDC9" w14:textId="1206C200" w:rsidR="00C93F24" w:rsidRPr="003C03F0" w:rsidRDefault="00CD50E6" w:rsidP="00A31B0A">
            <w:pPr>
              <w:rPr>
                <w:rFonts w:ascii="Barlow" w:hAnsi="Barlow"/>
                <w:b/>
                <w:bCs/>
                <w:lang w:val="en-US"/>
              </w:rPr>
            </w:pPr>
            <w:r w:rsidRPr="003C03F0">
              <w:rPr>
                <w:rFonts w:ascii="Barlow" w:hAnsi="Barlow"/>
                <w:b/>
                <w:bCs/>
                <w:lang w:val="en-US"/>
              </w:rPr>
              <w:t>Clause</w:t>
            </w:r>
            <w:r w:rsidR="00C93F24" w:rsidRPr="003C03F0">
              <w:rPr>
                <w:rFonts w:ascii="Barlow" w:hAnsi="Barlow"/>
                <w:b/>
                <w:bCs/>
                <w:lang w:val="en-US"/>
              </w:rPr>
              <w:t xml:space="preserve"> in Constitution</w:t>
            </w:r>
          </w:p>
        </w:tc>
      </w:tr>
      <w:tr w:rsidR="00C93F24" w:rsidRPr="003C03F0" w14:paraId="09E5B0A4" w14:textId="77777777" w:rsidTr="00593221">
        <w:tc>
          <w:tcPr>
            <w:tcW w:w="7196" w:type="dxa"/>
          </w:tcPr>
          <w:p w14:paraId="3BC1E94F"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the name of the society</w:t>
            </w:r>
          </w:p>
        </w:tc>
        <w:tc>
          <w:tcPr>
            <w:tcW w:w="1864" w:type="dxa"/>
          </w:tcPr>
          <w:p w14:paraId="19205EE8" w14:textId="10C42F70" w:rsidR="00C93F24" w:rsidRPr="003C03F0" w:rsidRDefault="00C93F24" w:rsidP="00A31B0A">
            <w:pPr>
              <w:rPr>
                <w:rFonts w:ascii="Barlow" w:hAnsi="Barlow"/>
                <w:lang w:val="en-US"/>
              </w:rPr>
            </w:pPr>
          </w:p>
        </w:tc>
      </w:tr>
      <w:tr w:rsidR="00C93F24" w:rsidRPr="003C03F0" w14:paraId="48EDD37C" w14:textId="77777777" w:rsidTr="00593221">
        <w:tc>
          <w:tcPr>
            <w:tcW w:w="7196" w:type="dxa"/>
          </w:tcPr>
          <w:p w14:paraId="4BB64C8F"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the purposes of the society</w:t>
            </w:r>
          </w:p>
        </w:tc>
        <w:tc>
          <w:tcPr>
            <w:tcW w:w="1864" w:type="dxa"/>
          </w:tcPr>
          <w:p w14:paraId="2BA3E0A5" w14:textId="515C9109" w:rsidR="00C93F24" w:rsidRPr="003C03F0" w:rsidRDefault="00C93F24" w:rsidP="00A31B0A">
            <w:pPr>
              <w:rPr>
                <w:rFonts w:ascii="Barlow" w:hAnsi="Barlow"/>
                <w:lang w:val="en-US"/>
              </w:rPr>
            </w:pPr>
          </w:p>
        </w:tc>
      </w:tr>
      <w:bookmarkEnd w:id="0"/>
      <w:tr w:rsidR="00C93F24" w:rsidRPr="003C03F0" w14:paraId="69A4371D" w14:textId="77777777" w:rsidTr="00593221">
        <w:tc>
          <w:tcPr>
            <w:tcW w:w="7196" w:type="dxa"/>
          </w:tcPr>
          <w:p w14:paraId="66D72911"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how a person becomes a member of the society, including a requirement that a person must consent to be a member</w:t>
            </w:r>
          </w:p>
        </w:tc>
        <w:tc>
          <w:tcPr>
            <w:tcW w:w="1864" w:type="dxa"/>
          </w:tcPr>
          <w:p w14:paraId="674F5607" w14:textId="5A741E49" w:rsidR="001766FA" w:rsidRPr="003C03F0" w:rsidRDefault="001766FA" w:rsidP="00A31B0A">
            <w:pPr>
              <w:rPr>
                <w:rFonts w:ascii="Barlow" w:hAnsi="Barlow"/>
                <w:i/>
                <w:iCs/>
                <w:lang w:val="en-US"/>
              </w:rPr>
            </w:pPr>
          </w:p>
        </w:tc>
      </w:tr>
      <w:tr w:rsidR="00C93F24" w:rsidRPr="003C03F0" w14:paraId="701AD434" w14:textId="77777777" w:rsidTr="00593221">
        <w:tc>
          <w:tcPr>
            <w:tcW w:w="7196" w:type="dxa"/>
          </w:tcPr>
          <w:p w14:paraId="5BE334F1"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how a person ceases to be a member of the society</w:t>
            </w:r>
          </w:p>
        </w:tc>
        <w:tc>
          <w:tcPr>
            <w:tcW w:w="1864" w:type="dxa"/>
          </w:tcPr>
          <w:p w14:paraId="3672E07C" w14:textId="33BABF6C" w:rsidR="00C93F24" w:rsidRPr="003C03F0" w:rsidRDefault="00C93F24" w:rsidP="00A31B0A">
            <w:pPr>
              <w:rPr>
                <w:rFonts w:ascii="Barlow" w:hAnsi="Barlow"/>
                <w:lang w:val="en-US"/>
              </w:rPr>
            </w:pPr>
          </w:p>
        </w:tc>
      </w:tr>
      <w:tr w:rsidR="00C93F24" w:rsidRPr="003C03F0" w14:paraId="0B9ABC4E" w14:textId="77777777" w:rsidTr="00593221">
        <w:tc>
          <w:tcPr>
            <w:tcW w:w="7196" w:type="dxa"/>
          </w:tcPr>
          <w:p w14:paraId="504BC2F4"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arrangements for keeping the society’s register of members up to date</w:t>
            </w:r>
          </w:p>
        </w:tc>
        <w:tc>
          <w:tcPr>
            <w:tcW w:w="1864" w:type="dxa"/>
          </w:tcPr>
          <w:p w14:paraId="0582F26C" w14:textId="1E4E511A" w:rsidR="00274B8A" w:rsidRPr="003C03F0" w:rsidRDefault="00274B8A" w:rsidP="00A31B0A">
            <w:pPr>
              <w:rPr>
                <w:rFonts w:ascii="Barlow" w:hAnsi="Barlow"/>
                <w:i/>
                <w:iCs/>
                <w:lang w:val="en-US"/>
              </w:rPr>
            </w:pPr>
          </w:p>
        </w:tc>
      </w:tr>
      <w:tr w:rsidR="00C93F24" w:rsidRPr="003C03F0" w14:paraId="6FDACEBF" w14:textId="77777777" w:rsidTr="00593221">
        <w:tc>
          <w:tcPr>
            <w:tcW w:w="7196" w:type="dxa"/>
          </w:tcPr>
          <w:p w14:paraId="4A36B01C"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the composition, roles, functions, powers, and procedures of the committee of the society</w:t>
            </w:r>
          </w:p>
        </w:tc>
        <w:tc>
          <w:tcPr>
            <w:tcW w:w="1864" w:type="dxa"/>
          </w:tcPr>
          <w:p w14:paraId="2F0F0FB8" w14:textId="3D8A1522" w:rsidR="00C93F24" w:rsidRPr="003C03F0" w:rsidRDefault="00C93F24" w:rsidP="00A31B0A">
            <w:pPr>
              <w:rPr>
                <w:rFonts w:ascii="Barlow" w:hAnsi="Barlow"/>
                <w:lang w:val="en-US"/>
              </w:rPr>
            </w:pPr>
          </w:p>
        </w:tc>
      </w:tr>
      <w:tr w:rsidR="00C93F24" w:rsidRPr="003C03F0" w14:paraId="2C128432" w14:textId="77777777" w:rsidTr="00593221">
        <w:tc>
          <w:tcPr>
            <w:tcW w:w="7196" w:type="dxa"/>
          </w:tcPr>
          <w:p w14:paraId="383A6B79" w14:textId="3C2239F3"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the number of members that must or may be on the committee</w:t>
            </w:r>
            <w:r w:rsidR="00593221" w:rsidRPr="003C03F0">
              <w:rPr>
                <w:rFonts w:ascii="Barlow" w:hAnsi="Barlow"/>
                <w:color w:val="000000"/>
                <w:szCs w:val="20"/>
                <w:shd w:val="clear" w:color="auto" w:fill="FFFFFF"/>
              </w:rPr>
              <w:t xml:space="preserve"> (minimum of three; at least 51% of committee must be members or representatives of bodies corporate that are members, unless exemption in Incorporated Societies Regulations applies)</w:t>
            </w:r>
          </w:p>
        </w:tc>
        <w:tc>
          <w:tcPr>
            <w:tcW w:w="1864" w:type="dxa"/>
          </w:tcPr>
          <w:p w14:paraId="3439E4FD" w14:textId="75598626" w:rsidR="00274B8A" w:rsidRPr="003C03F0" w:rsidRDefault="00274B8A" w:rsidP="00A31B0A">
            <w:pPr>
              <w:rPr>
                <w:rFonts w:ascii="Barlow" w:hAnsi="Barlow"/>
                <w:lang w:val="en-US"/>
              </w:rPr>
            </w:pPr>
          </w:p>
        </w:tc>
      </w:tr>
      <w:tr w:rsidR="00C93F24" w:rsidRPr="003C03F0" w14:paraId="6F8A6D6D" w14:textId="77777777" w:rsidTr="00593221">
        <w:tc>
          <w:tcPr>
            <w:tcW w:w="7196" w:type="dxa"/>
          </w:tcPr>
          <w:p w14:paraId="5D66342D"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the election or appointment of officers</w:t>
            </w:r>
          </w:p>
        </w:tc>
        <w:tc>
          <w:tcPr>
            <w:tcW w:w="1864" w:type="dxa"/>
          </w:tcPr>
          <w:p w14:paraId="34EC7D29" w14:textId="067C66FB" w:rsidR="00C93F24" w:rsidRPr="003C03F0" w:rsidRDefault="00C93F24" w:rsidP="00A31B0A">
            <w:pPr>
              <w:rPr>
                <w:rFonts w:ascii="Barlow" w:hAnsi="Barlow"/>
                <w:lang w:val="en-US"/>
              </w:rPr>
            </w:pPr>
          </w:p>
        </w:tc>
      </w:tr>
      <w:tr w:rsidR="00C93F24" w:rsidRPr="003C03F0" w14:paraId="6F8DB16C" w14:textId="77777777" w:rsidTr="00593221">
        <w:tc>
          <w:tcPr>
            <w:tcW w:w="7196" w:type="dxa"/>
          </w:tcPr>
          <w:p w14:paraId="2C94DF24"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the terms of office of the officers</w:t>
            </w:r>
          </w:p>
        </w:tc>
        <w:tc>
          <w:tcPr>
            <w:tcW w:w="1864" w:type="dxa"/>
          </w:tcPr>
          <w:p w14:paraId="66413B52" w14:textId="6D87525E" w:rsidR="00C93F24" w:rsidRPr="003C03F0" w:rsidRDefault="00C93F24" w:rsidP="00A31B0A">
            <w:pPr>
              <w:rPr>
                <w:rFonts w:ascii="Barlow" w:hAnsi="Barlow"/>
                <w:lang w:val="en-US"/>
              </w:rPr>
            </w:pPr>
          </w:p>
        </w:tc>
      </w:tr>
      <w:tr w:rsidR="00C93F24" w:rsidRPr="003C03F0" w14:paraId="50B983F4" w14:textId="77777777" w:rsidTr="00593221">
        <w:tc>
          <w:tcPr>
            <w:tcW w:w="7196" w:type="dxa"/>
          </w:tcPr>
          <w:p w14:paraId="29DC6702"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the functions and powers of the committee</w:t>
            </w:r>
          </w:p>
        </w:tc>
        <w:tc>
          <w:tcPr>
            <w:tcW w:w="1864" w:type="dxa"/>
          </w:tcPr>
          <w:p w14:paraId="07688B6D" w14:textId="7B6FE046" w:rsidR="00274B8A" w:rsidRPr="003C03F0" w:rsidRDefault="00274B8A" w:rsidP="00A31B0A">
            <w:pPr>
              <w:rPr>
                <w:rFonts w:ascii="Barlow" w:hAnsi="Barlow"/>
                <w:lang w:val="en-US"/>
              </w:rPr>
            </w:pPr>
          </w:p>
        </w:tc>
      </w:tr>
      <w:tr w:rsidR="00C93F24" w:rsidRPr="003C03F0" w14:paraId="325F80F8" w14:textId="77777777" w:rsidTr="00593221">
        <w:tc>
          <w:tcPr>
            <w:tcW w:w="7196" w:type="dxa"/>
          </w:tcPr>
          <w:p w14:paraId="7807F9AF"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grounds for removal from office of officers</w:t>
            </w:r>
          </w:p>
        </w:tc>
        <w:tc>
          <w:tcPr>
            <w:tcW w:w="1864" w:type="dxa"/>
          </w:tcPr>
          <w:p w14:paraId="6502AACE" w14:textId="0DFBCEA6" w:rsidR="00C93F24" w:rsidRPr="003C03F0" w:rsidRDefault="00C93F24" w:rsidP="00274B8A">
            <w:pPr>
              <w:rPr>
                <w:rFonts w:ascii="Barlow" w:hAnsi="Barlow"/>
                <w:lang w:val="en-US"/>
              </w:rPr>
            </w:pPr>
          </w:p>
        </w:tc>
      </w:tr>
      <w:tr w:rsidR="00C93F24" w:rsidRPr="003C03F0" w14:paraId="37831A03" w14:textId="77777777" w:rsidTr="00593221">
        <w:tc>
          <w:tcPr>
            <w:tcW w:w="7196" w:type="dxa"/>
          </w:tcPr>
          <w:p w14:paraId="14E385A9"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how the chairperson (if any) will be elected or appointed and whether that person will have a casting vote if there is an equality of votes</w:t>
            </w:r>
          </w:p>
        </w:tc>
        <w:tc>
          <w:tcPr>
            <w:tcW w:w="1864" w:type="dxa"/>
          </w:tcPr>
          <w:p w14:paraId="778B5685" w14:textId="10337B77" w:rsidR="00C93F24" w:rsidRPr="003C03F0" w:rsidRDefault="00C93F24" w:rsidP="00A31B0A">
            <w:pPr>
              <w:rPr>
                <w:rFonts w:ascii="Barlow" w:hAnsi="Barlow"/>
                <w:lang w:val="en-US"/>
              </w:rPr>
            </w:pPr>
          </w:p>
        </w:tc>
      </w:tr>
      <w:tr w:rsidR="00C93F24" w:rsidRPr="003C03F0" w14:paraId="2582A01E" w14:textId="77777777" w:rsidTr="00593221">
        <w:tc>
          <w:tcPr>
            <w:tcW w:w="7196" w:type="dxa"/>
          </w:tcPr>
          <w:p w14:paraId="3B89BBEF" w14:textId="77777777" w:rsidR="00C93F24" w:rsidRPr="003C03F0" w:rsidRDefault="00C93F24" w:rsidP="00C93F24">
            <w:pPr>
              <w:pStyle w:val="ListParagraph"/>
              <w:numPr>
                <w:ilvl w:val="0"/>
                <w:numId w:val="2"/>
              </w:numPr>
              <w:spacing w:after="170"/>
              <w:ind w:left="744" w:hanging="425"/>
              <w:rPr>
                <w:rFonts w:ascii="Barlow" w:hAnsi="Barlow"/>
                <w:color w:val="000000"/>
                <w:szCs w:val="20"/>
                <w:shd w:val="clear" w:color="auto" w:fill="FFFFFF"/>
              </w:rPr>
            </w:pPr>
            <w:r w:rsidRPr="003C03F0">
              <w:rPr>
                <w:rFonts w:ascii="Barlow" w:hAnsi="Barlow"/>
                <w:color w:val="000000"/>
                <w:szCs w:val="20"/>
                <w:shd w:val="clear" w:color="auto" w:fill="FFFFFF"/>
              </w:rPr>
              <w:t>the quorum and procedure for committee meetings, including voting procedures</w:t>
            </w:r>
          </w:p>
        </w:tc>
        <w:tc>
          <w:tcPr>
            <w:tcW w:w="1864" w:type="dxa"/>
          </w:tcPr>
          <w:p w14:paraId="2DFB874F" w14:textId="221450CF" w:rsidR="00C93F24" w:rsidRPr="003C03F0" w:rsidRDefault="00C93F24" w:rsidP="00A31B0A">
            <w:pPr>
              <w:rPr>
                <w:rFonts w:ascii="Barlow" w:hAnsi="Barlow"/>
                <w:lang w:val="en-US"/>
              </w:rPr>
            </w:pPr>
          </w:p>
        </w:tc>
      </w:tr>
      <w:tr w:rsidR="00C93F24" w:rsidRPr="003C03F0" w14:paraId="07E20B16" w14:textId="77777777" w:rsidTr="00593221">
        <w:tc>
          <w:tcPr>
            <w:tcW w:w="7196" w:type="dxa"/>
          </w:tcPr>
          <w:p w14:paraId="1F455E24" w14:textId="0A70F388"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how the contact person or persons will be elected or appointed</w:t>
            </w:r>
            <w:r w:rsidR="00593221" w:rsidRPr="003C03F0">
              <w:rPr>
                <w:rFonts w:ascii="Barlow" w:hAnsi="Barlow"/>
                <w:color w:val="000000"/>
                <w:szCs w:val="20"/>
                <w:shd w:val="clear" w:color="auto" w:fill="FFFFFF"/>
              </w:rPr>
              <w:t xml:space="preserve"> (minimum of one contact person, maximum of three)</w:t>
            </w:r>
          </w:p>
        </w:tc>
        <w:tc>
          <w:tcPr>
            <w:tcW w:w="1864" w:type="dxa"/>
          </w:tcPr>
          <w:p w14:paraId="43394A3E" w14:textId="006CE11B" w:rsidR="00C93F24" w:rsidRPr="003C03F0" w:rsidRDefault="00C93F24" w:rsidP="00A31B0A">
            <w:pPr>
              <w:rPr>
                <w:rFonts w:ascii="Barlow" w:hAnsi="Barlow"/>
                <w:i/>
                <w:iCs/>
                <w:lang w:val="en-US"/>
              </w:rPr>
            </w:pPr>
          </w:p>
        </w:tc>
      </w:tr>
      <w:tr w:rsidR="00C93F24" w:rsidRPr="003C03F0" w14:paraId="7CFEC030" w14:textId="77777777" w:rsidTr="00593221">
        <w:tc>
          <w:tcPr>
            <w:tcW w:w="7196" w:type="dxa"/>
          </w:tcPr>
          <w:p w14:paraId="05D00750"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how the society will control and manage its finances</w:t>
            </w:r>
          </w:p>
        </w:tc>
        <w:tc>
          <w:tcPr>
            <w:tcW w:w="1864" w:type="dxa"/>
          </w:tcPr>
          <w:p w14:paraId="18B54402" w14:textId="6C047C5B" w:rsidR="00C93F24" w:rsidRPr="003C03F0" w:rsidRDefault="00C93F24" w:rsidP="00A31B0A">
            <w:pPr>
              <w:rPr>
                <w:rFonts w:ascii="Barlow" w:hAnsi="Barlow"/>
                <w:lang w:val="en-US"/>
              </w:rPr>
            </w:pPr>
          </w:p>
        </w:tc>
      </w:tr>
      <w:tr w:rsidR="00C93F24" w:rsidRPr="003C03F0" w14:paraId="4A8340CD" w14:textId="77777777" w:rsidTr="00593221">
        <w:tc>
          <w:tcPr>
            <w:tcW w:w="7196" w:type="dxa"/>
          </w:tcPr>
          <w:p w14:paraId="541FEBDF"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szCs w:val="20"/>
                <w:lang w:val="en-US"/>
              </w:rPr>
              <w:lastRenderedPageBreak/>
              <w:t>t</w:t>
            </w:r>
            <w:r w:rsidRPr="003C03F0">
              <w:rPr>
                <w:rFonts w:ascii="Barlow" w:hAnsi="Barlow"/>
                <w:color w:val="000000"/>
                <w:szCs w:val="20"/>
                <w:shd w:val="clear" w:color="auto" w:fill="FFFFFF"/>
              </w:rPr>
              <w:t>he method by which the constitution may be amended</w:t>
            </w:r>
          </w:p>
        </w:tc>
        <w:tc>
          <w:tcPr>
            <w:tcW w:w="1864" w:type="dxa"/>
          </w:tcPr>
          <w:p w14:paraId="67A89C5B" w14:textId="0323AE11" w:rsidR="00274B8A" w:rsidRPr="003C03F0" w:rsidRDefault="00274B8A" w:rsidP="00A31B0A">
            <w:pPr>
              <w:rPr>
                <w:rFonts w:ascii="Barlow" w:hAnsi="Barlow"/>
                <w:lang w:val="en-US"/>
              </w:rPr>
            </w:pPr>
          </w:p>
        </w:tc>
      </w:tr>
      <w:tr w:rsidR="00C93F24" w:rsidRPr="003C03F0" w14:paraId="5C5AA8C6" w14:textId="77777777" w:rsidTr="00593221">
        <w:tc>
          <w:tcPr>
            <w:tcW w:w="7196" w:type="dxa"/>
          </w:tcPr>
          <w:p w14:paraId="2859C7F9" w14:textId="7B717A8E"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procedures for resolving disputes, including providing for how a complaint may be made</w:t>
            </w:r>
            <w:r w:rsidR="00593221" w:rsidRPr="003C03F0">
              <w:rPr>
                <w:rFonts w:ascii="Barlow" w:hAnsi="Barlow"/>
                <w:color w:val="000000"/>
                <w:szCs w:val="20"/>
                <w:shd w:val="clear" w:color="auto" w:fill="FFFFFF"/>
              </w:rPr>
              <w:t xml:space="preserve"> (procedures must be consistent with rules of natural justice)</w:t>
            </w:r>
          </w:p>
        </w:tc>
        <w:tc>
          <w:tcPr>
            <w:tcW w:w="1864" w:type="dxa"/>
          </w:tcPr>
          <w:p w14:paraId="17596A96" w14:textId="0AD97CB3" w:rsidR="00C93F24" w:rsidRPr="003C03F0" w:rsidRDefault="00C93F24" w:rsidP="00A31B0A">
            <w:pPr>
              <w:rPr>
                <w:rFonts w:ascii="Barlow" w:hAnsi="Barlow"/>
                <w:i/>
                <w:iCs/>
                <w:lang w:val="en-US"/>
              </w:rPr>
            </w:pPr>
          </w:p>
        </w:tc>
      </w:tr>
      <w:tr w:rsidR="00C93F24" w:rsidRPr="003C03F0" w14:paraId="6A3657FA" w14:textId="77777777" w:rsidTr="00593221">
        <w:tc>
          <w:tcPr>
            <w:tcW w:w="7196" w:type="dxa"/>
          </w:tcPr>
          <w:p w14:paraId="1D099B2F" w14:textId="488A94B5"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arrangements and requirements for general meetings</w:t>
            </w:r>
            <w:r w:rsidR="00971B2C" w:rsidRPr="003C03F0">
              <w:rPr>
                <w:rFonts w:ascii="Barlow" w:hAnsi="Barlow"/>
                <w:color w:val="000000"/>
                <w:szCs w:val="20"/>
                <w:shd w:val="clear" w:color="auto" w:fill="FFFFFF"/>
              </w:rPr>
              <w:t xml:space="preserve"> (including for </w:t>
            </w:r>
            <w:r w:rsidR="00593221" w:rsidRPr="003C03F0">
              <w:rPr>
                <w:rFonts w:ascii="Barlow" w:hAnsi="Barlow"/>
                <w:color w:val="000000"/>
                <w:szCs w:val="20"/>
                <w:shd w:val="clear" w:color="auto" w:fill="FFFFFF"/>
              </w:rPr>
              <w:t xml:space="preserve">both </w:t>
            </w:r>
            <w:r w:rsidR="00971B2C" w:rsidRPr="003C03F0">
              <w:rPr>
                <w:rFonts w:ascii="Barlow" w:hAnsi="Barlow"/>
                <w:color w:val="000000"/>
                <w:szCs w:val="20"/>
                <w:shd w:val="clear" w:color="auto" w:fill="FFFFFF"/>
              </w:rPr>
              <w:t>AGMs and SGMs)</w:t>
            </w:r>
          </w:p>
        </w:tc>
        <w:tc>
          <w:tcPr>
            <w:tcW w:w="1864" w:type="dxa"/>
          </w:tcPr>
          <w:p w14:paraId="14931918" w14:textId="54918D2F" w:rsidR="00C93F24" w:rsidRPr="003C03F0" w:rsidRDefault="00C93F24" w:rsidP="00A31B0A">
            <w:pPr>
              <w:rPr>
                <w:rFonts w:ascii="Barlow" w:hAnsi="Barlow"/>
                <w:lang w:val="en-US"/>
              </w:rPr>
            </w:pPr>
          </w:p>
        </w:tc>
      </w:tr>
      <w:tr w:rsidR="00C93F24" w:rsidRPr="003C03F0" w14:paraId="43B7A8A3" w14:textId="77777777" w:rsidTr="00593221">
        <w:tc>
          <w:tcPr>
            <w:tcW w:w="7196" w:type="dxa"/>
          </w:tcPr>
          <w:p w14:paraId="41D9FCBE" w14:textId="74A3C363"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the intervals between annual general meetings</w:t>
            </w:r>
            <w:r w:rsidR="00971B2C" w:rsidRPr="003C03F0">
              <w:rPr>
                <w:rFonts w:ascii="Barlow" w:hAnsi="Barlow"/>
                <w:color w:val="000000"/>
                <w:szCs w:val="20"/>
                <w:shd w:val="clear" w:color="auto" w:fill="FFFFFF"/>
              </w:rPr>
              <w:t xml:space="preserve"> (must be called not later than 6 months after the balance date and not later than 15 months after the previous AGM)</w:t>
            </w:r>
          </w:p>
        </w:tc>
        <w:tc>
          <w:tcPr>
            <w:tcW w:w="1864" w:type="dxa"/>
          </w:tcPr>
          <w:p w14:paraId="62C1E694" w14:textId="6EE230B5" w:rsidR="00C93F24" w:rsidRPr="003C03F0" w:rsidRDefault="00C93F24" w:rsidP="00A31B0A">
            <w:pPr>
              <w:rPr>
                <w:rFonts w:ascii="Barlow" w:hAnsi="Barlow"/>
                <w:lang w:val="en-US"/>
              </w:rPr>
            </w:pPr>
          </w:p>
        </w:tc>
      </w:tr>
      <w:tr w:rsidR="00C93F24" w:rsidRPr="003C03F0" w14:paraId="6E1CD334" w14:textId="77777777" w:rsidTr="00593221">
        <w:tc>
          <w:tcPr>
            <w:tcW w:w="7196" w:type="dxa"/>
          </w:tcPr>
          <w:p w14:paraId="77CD4C21" w14:textId="3DD48CDE"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the information that must be presented at general meetings</w:t>
            </w:r>
            <w:r w:rsidR="00971B2C" w:rsidRPr="003C03F0">
              <w:rPr>
                <w:rFonts w:ascii="Barlow" w:hAnsi="Barlow"/>
                <w:color w:val="000000"/>
                <w:szCs w:val="20"/>
                <w:shd w:val="clear" w:color="auto" w:fill="FFFFFF"/>
              </w:rPr>
              <w:t xml:space="preserve"> (annual report on operations and affairs of the organisation, financial statements, notice of the disclosures of any conflicts of interests made by officers)</w:t>
            </w:r>
          </w:p>
        </w:tc>
        <w:tc>
          <w:tcPr>
            <w:tcW w:w="1864" w:type="dxa"/>
          </w:tcPr>
          <w:p w14:paraId="19EE82CE" w14:textId="76738F34" w:rsidR="00274B8A" w:rsidRPr="003C03F0" w:rsidRDefault="00274B8A" w:rsidP="00A31B0A">
            <w:pPr>
              <w:rPr>
                <w:rFonts w:ascii="Barlow" w:hAnsi="Barlow"/>
                <w:i/>
                <w:iCs/>
                <w:lang w:val="en-US"/>
              </w:rPr>
            </w:pPr>
          </w:p>
        </w:tc>
      </w:tr>
      <w:tr w:rsidR="00C93F24" w:rsidRPr="003C03F0" w14:paraId="51BE4B8F" w14:textId="77777777" w:rsidTr="00593221">
        <w:tc>
          <w:tcPr>
            <w:tcW w:w="7196" w:type="dxa"/>
          </w:tcPr>
          <w:p w14:paraId="62DF5ED6" w14:textId="77777777"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when minutes are required to be kept</w:t>
            </w:r>
          </w:p>
        </w:tc>
        <w:tc>
          <w:tcPr>
            <w:tcW w:w="1864" w:type="dxa"/>
          </w:tcPr>
          <w:p w14:paraId="2E4615C7" w14:textId="4A49BD0B" w:rsidR="00C93F24" w:rsidRPr="003C03F0" w:rsidRDefault="00C93F24" w:rsidP="00A31B0A">
            <w:pPr>
              <w:rPr>
                <w:rFonts w:ascii="Barlow" w:hAnsi="Barlow"/>
                <w:i/>
                <w:iCs/>
                <w:lang w:val="en-US"/>
              </w:rPr>
            </w:pPr>
          </w:p>
        </w:tc>
      </w:tr>
      <w:tr w:rsidR="00C93F24" w:rsidRPr="003C03F0" w14:paraId="00EAB903" w14:textId="77777777" w:rsidTr="00593221">
        <w:tc>
          <w:tcPr>
            <w:tcW w:w="7196" w:type="dxa"/>
          </w:tcPr>
          <w:p w14:paraId="0C6585BE" w14:textId="2EF35BC1"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the manner of calling general meetings</w:t>
            </w:r>
            <w:r w:rsidR="00971B2C" w:rsidRPr="003C03F0">
              <w:rPr>
                <w:rFonts w:ascii="Barlow" w:hAnsi="Barlow"/>
                <w:color w:val="000000"/>
                <w:szCs w:val="20"/>
                <w:shd w:val="clear" w:color="auto" w:fill="FFFFFF"/>
              </w:rPr>
              <w:t xml:space="preserve"> </w:t>
            </w:r>
          </w:p>
        </w:tc>
        <w:tc>
          <w:tcPr>
            <w:tcW w:w="1864" w:type="dxa"/>
          </w:tcPr>
          <w:p w14:paraId="2DC886DE" w14:textId="09E63248" w:rsidR="00C93F24" w:rsidRPr="003C03F0" w:rsidRDefault="00C93F24" w:rsidP="00A31B0A">
            <w:pPr>
              <w:rPr>
                <w:rFonts w:ascii="Barlow" w:hAnsi="Barlow"/>
                <w:lang w:val="en-US"/>
              </w:rPr>
            </w:pPr>
          </w:p>
        </w:tc>
      </w:tr>
      <w:tr w:rsidR="00C93F24" w:rsidRPr="003C03F0" w14:paraId="580A78C9" w14:textId="77777777" w:rsidTr="00593221">
        <w:tc>
          <w:tcPr>
            <w:tcW w:w="7196" w:type="dxa"/>
          </w:tcPr>
          <w:p w14:paraId="47C84AB5" w14:textId="4B6517D8"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whether and, if so, how written resolutions may be passed in lieu of a general meeting for the purposes of </w:t>
            </w:r>
            <w:r w:rsidR="00CD50E6" w:rsidRPr="003C03F0">
              <w:rPr>
                <w:rFonts w:ascii="Barlow" w:hAnsi="Barlow"/>
                <w:color w:val="000000"/>
                <w:szCs w:val="20"/>
                <w:shd w:val="clear" w:color="auto" w:fill="FFFFFF"/>
              </w:rPr>
              <w:t>section 89</w:t>
            </w:r>
            <w:r w:rsidR="00D8334E" w:rsidRPr="003C03F0">
              <w:rPr>
                <w:rFonts w:ascii="Barlow" w:hAnsi="Barlow"/>
                <w:color w:val="000000"/>
                <w:szCs w:val="20"/>
                <w:shd w:val="clear" w:color="auto" w:fill="FFFFFF"/>
              </w:rPr>
              <w:t xml:space="preserve"> of the Act</w:t>
            </w:r>
          </w:p>
        </w:tc>
        <w:tc>
          <w:tcPr>
            <w:tcW w:w="1864" w:type="dxa"/>
          </w:tcPr>
          <w:p w14:paraId="69E6D872" w14:textId="5F239B1E" w:rsidR="00C93F24" w:rsidRPr="003C03F0" w:rsidRDefault="00C93F24" w:rsidP="00A31B0A">
            <w:pPr>
              <w:rPr>
                <w:rFonts w:ascii="Barlow" w:hAnsi="Barlow"/>
                <w:lang w:val="en-US"/>
              </w:rPr>
            </w:pPr>
          </w:p>
        </w:tc>
      </w:tr>
      <w:tr w:rsidR="00C93F24" w:rsidRPr="003C03F0" w14:paraId="59605751" w14:textId="77777777" w:rsidTr="00593221">
        <w:tc>
          <w:tcPr>
            <w:tcW w:w="7196" w:type="dxa"/>
          </w:tcPr>
          <w:p w14:paraId="24C89C06" w14:textId="36384F06"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 xml:space="preserve">the time within which, and </w:t>
            </w:r>
            <w:proofErr w:type="gramStart"/>
            <w:r w:rsidRPr="003C03F0">
              <w:rPr>
                <w:rFonts w:ascii="Barlow" w:hAnsi="Barlow"/>
                <w:color w:val="000000"/>
                <w:szCs w:val="20"/>
                <w:shd w:val="clear" w:color="auto" w:fill="FFFFFF"/>
              </w:rPr>
              <w:t>manner in which</w:t>
            </w:r>
            <w:proofErr w:type="gramEnd"/>
            <w:r w:rsidRPr="003C03F0">
              <w:rPr>
                <w:rFonts w:ascii="Barlow" w:hAnsi="Barlow"/>
                <w:color w:val="000000"/>
                <w:szCs w:val="20"/>
                <w:shd w:val="clear" w:color="auto" w:fill="FFFFFF"/>
              </w:rPr>
              <w:t>, notices of general meetings and notices of motion must be notified</w:t>
            </w:r>
          </w:p>
        </w:tc>
        <w:tc>
          <w:tcPr>
            <w:tcW w:w="1864" w:type="dxa"/>
          </w:tcPr>
          <w:p w14:paraId="3F166653" w14:textId="7402B91E" w:rsidR="00274B8A" w:rsidRPr="003C03F0" w:rsidRDefault="00274B8A" w:rsidP="00A31B0A">
            <w:pPr>
              <w:rPr>
                <w:rFonts w:ascii="Barlow" w:hAnsi="Barlow"/>
                <w:lang w:val="en-US"/>
              </w:rPr>
            </w:pPr>
          </w:p>
        </w:tc>
      </w:tr>
      <w:tr w:rsidR="00C93F24" w:rsidRPr="003C03F0" w14:paraId="2A7891BD" w14:textId="77777777" w:rsidTr="00593221">
        <w:tc>
          <w:tcPr>
            <w:tcW w:w="7196" w:type="dxa"/>
          </w:tcPr>
          <w:p w14:paraId="60029E1C" w14:textId="3093C0FE"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 xml:space="preserve">the quorum and procedure for general meetings, including voting procedures (for example, whether votes may be cast by post or by electronic means), procedures for proxies (if any), and whether the quorum </w:t>
            </w:r>
            <w:proofErr w:type="gramStart"/>
            <w:r w:rsidRPr="003C03F0">
              <w:rPr>
                <w:rFonts w:ascii="Barlow" w:hAnsi="Barlow"/>
                <w:color w:val="000000"/>
                <w:szCs w:val="20"/>
                <w:shd w:val="clear" w:color="auto" w:fill="FFFFFF"/>
              </w:rPr>
              <w:t>takes into account</w:t>
            </w:r>
            <w:proofErr w:type="gramEnd"/>
            <w:r w:rsidRPr="003C03F0">
              <w:rPr>
                <w:rFonts w:ascii="Barlow" w:hAnsi="Barlow"/>
                <w:color w:val="000000"/>
                <w:szCs w:val="20"/>
                <w:shd w:val="clear" w:color="auto" w:fill="FFFFFF"/>
              </w:rPr>
              <w:t xml:space="preserve"> members present by proxy or casting postal votes or votes by electronic means</w:t>
            </w:r>
          </w:p>
        </w:tc>
        <w:tc>
          <w:tcPr>
            <w:tcW w:w="1864" w:type="dxa"/>
          </w:tcPr>
          <w:p w14:paraId="5F787049" w14:textId="2784B155" w:rsidR="00274B8A" w:rsidRPr="003C03F0" w:rsidRDefault="00274B8A" w:rsidP="00D63544">
            <w:pPr>
              <w:rPr>
                <w:rFonts w:ascii="Barlow" w:hAnsi="Barlow"/>
                <w:i/>
                <w:iCs/>
                <w:lang w:val="en-US"/>
              </w:rPr>
            </w:pPr>
          </w:p>
        </w:tc>
      </w:tr>
      <w:tr w:rsidR="00C93F24" w:rsidRPr="003C03F0" w14:paraId="78F53EBB" w14:textId="77777777" w:rsidTr="00593221">
        <w:tc>
          <w:tcPr>
            <w:tcW w:w="7196" w:type="dxa"/>
          </w:tcPr>
          <w:p w14:paraId="6E7BC4BE" w14:textId="4E1F2076" w:rsidR="00C93F24" w:rsidRPr="003C03F0" w:rsidRDefault="00C93F24" w:rsidP="00C93F24">
            <w:pPr>
              <w:pStyle w:val="ListParagraph"/>
              <w:numPr>
                <w:ilvl w:val="0"/>
                <w:numId w:val="3"/>
              </w:numPr>
              <w:spacing w:after="170"/>
              <w:ind w:left="744" w:hanging="433"/>
              <w:rPr>
                <w:rFonts w:ascii="Barlow" w:hAnsi="Barlow"/>
                <w:color w:val="000000"/>
                <w:szCs w:val="20"/>
                <w:shd w:val="clear" w:color="auto" w:fill="FFFFFF"/>
              </w:rPr>
            </w:pPr>
            <w:r w:rsidRPr="003C03F0">
              <w:rPr>
                <w:rFonts w:ascii="Barlow" w:hAnsi="Barlow"/>
                <w:color w:val="000000"/>
                <w:szCs w:val="20"/>
                <w:shd w:val="clear" w:color="auto" w:fill="FFFFFF"/>
              </w:rPr>
              <w:t>the arrangements and requirements for special general meetings under</w:t>
            </w:r>
            <w:r w:rsidR="00CD50E6" w:rsidRPr="003C03F0">
              <w:rPr>
                <w:rFonts w:ascii="Barlow" w:hAnsi="Barlow"/>
                <w:color w:val="000000"/>
                <w:szCs w:val="20"/>
                <w:shd w:val="clear" w:color="auto" w:fill="FFFFFF"/>
              </w:rPr>
              <w:t xml:space="preserve"> section 64(3)</w:t>
            </w:r>
            <w:r w:rsidR="00D8334E" w:rsidRPr="003C03F0">
              <w:rPr>
                <w:rFonts w:ascii="Barlow" w:hAnsi="Barlow"/>
                <w:color w:val="000000"/>
                <w:szCs w:val="20"/>
                <w:shd w:val="clear" w:color="auto" w:fill="FFFFFF"/>
              </w:rPr>
              <w:t xml:space="preserve"> of the Act (relating to if 50% or more committee members are prevented from voting on a matter in which they are interested in, a special general meeting must be called to consider and determine the matter)</w:t>
            </w:r>
            <w:r w:rsidRPr="003C03F0">
              <w:rPr>
                <w:rFonts w:ascii="Barlow" w:hAnsi="Barlow"/>
                <w:color w:val="000000"/>
                <w:szCs w:val="20"/>
                <w:shd w:val="clear" w:color="auto" w:fill="FFFFFF"/>
              </w:rPr>
              <w:t> (unless that provision has been negated under</w:t>
            </w:r>
            <w:r w:rsidR="00CD50E6" w:rsidRPr="003C03F0">
              <w:rPr>
                <w:rFonts w:ascii="Barlow" w:hAnsi="Barlow"/>
                <w:color w:val="000000"/>
                <w:szCs w:val="20"/>
                <w:shd w:val="clear" w:color="auto" w:fill="FFFFFF"/>
              </w:rPr>
              <w:t xml:space="preserve"> section 67</w:t>
            </w:r>
            <w:r w:rsidR="00D8334E" w:rsidRPr="003C03F0">
              <w:rPr>
                <w:rFonts w:ascii="Barlow" w:hAnsi="Barlow"/>
                <w:color w:val="000000"/>
                <w:szCs w:val="20"/>
                <w:shd w:val="clear" w:color="auto" w:fill="FFFFFF"/>
              </w:rPr>
              <w:t xml:space="preserve"> of the Act</w:t>
            </w:r>
            <w:r w:rsidRPr="003C03F0">
              <w:rPr>
                <w:rFonts w:ascii="Barlow" w:hAnsi="Barlow"/>
                <w:color w:val="000000"/>
                <w:szCs w:val="20"/>
                <w:shd w:val="clear" w:color="auto" w:fill="FFFFFF"/>
              </w:rPr>
              <w:t>)</w:t>
            </w:r>
          </w:p>
        </w:tc>
        <w:tc>
          <w:tcPr>
            <w:tcW w:w="1864" w:type="dxa"/>
          </w:tcPr>
          <w:p w14:paraId="1D3798FF" w14:textId="2893C00E" w:rsidR="00C93F24" w:rsidRPr="003C03F0" w:rsidRDefault="00C93F24" w:rsidP="00A31B0A">
            <w:pPr>
              <w:rPr>
                <w:rFonts w:ascii="Barlow" w:hAnsi="Barlow"/>
                <w:lang w:val="en-US"/>
              </w:rPr>
            </w:pPr>
          </w:p>
        </w:tc>
      </w:tr>
      <w:tr w:rsidR="00C93F24" w:rsidRPr="003C03F0" w14:paraId="1B643BB3" w14:textId="77777777" w:rsidTr="00593221">
        <w:tc>
          <w:tcPr>
            <w:tcW w:w="7196" w:type="dxa"/>
          </w:tcPr>
          <w:p w14:paraId="737492CD" w14:textId="77777777" w:rsidR="00C93F24" w:rsidRPr="003C03F0" w:rsidRDefault="00C93F24" w:rsidP="00A31B0A">
            <w:pPr>
              <w:pStyle w:val="ListParagraph"/>
              <w:numPr>
                <w:ilvl w:val="0"/>
                <w:numId w:val="1"/>
              </w:numPr>
              <w:spacing w:after="170"/>
              <w:ind w:left="360"/>
              <w:rPr>
                <w:rFonts w:ascii="Barlow" w:hAnsi="Barlow"/>
                <w:szCs w:val="20"/>
                <w:lang w:val="en-US"/>
              </w:rPr>
            </w:pPr>
            <w:r w:rsidRPr="003C03F0">
              <w:rPr>
                <w:rFonts w:ascii="Barlow" w:hAnsi="Barlow"/>
                <w:color w:val="000000"/>
                <w:szCs w:val="20"/>
                <w:shd w:val="clear" w:color="auto" w:fill="FFFFFF"/>
              </w:rPr>
              <w:t>the nomination of a not-for-profit entity, or a class or description of not-for-profit entities, to which any surplus assets of the society should be distributed on a liquidation of the society or on, or to enable, the removal of the society from the register</w:t>
            </w:r>
          </w:p>
        </w:tc>
        <w:tc>
          <w:tcPr>
            <w:tcW w:w="1864" w:type="dxa"/>
          </w:tcPr>
          <w:p w14:paraId="5A30C0E0" w14:textId="473B9913" w:rsidR="00C93F24" w:rsidRPr="003C03F0" w:rsidRDefault="00C93F24" w:rsidP="00274B8A">
            <w:pPr>
              <w:tabs>
                <w:tab w:val="right" w:pos="3349"/>
              </w:tabs>
              <w:rPr>
                <w:rFonts w:ascii="Barlow" w:hAnsi="Barlow"/>
                <w:lang w:val="en-US"/>
              </w:rPr>
            </w:pPr>
          </w:p>
        </w:tc>
      </w:tr>
    </w:tbl>
    <w:p w14:paraId="3AC2E82D" w14:textId="77777777" w:rsidR="00707076" w:rsidRPr="003C03F0" w:rsidRDefault="00707076" w:rsidP="00646324">
      <w:pPr>
        <w:rPr>
          <w:rFonts w:ascii="Barlow" w:hAnsi="Barlow"/>
          <w:sz w:val="22"/>
          <w:szCs w:val="22"/>
        </w:rPr>
      </w:pPr>
    </w:p>
    <w:sectPr w:rsidR="00707076" w:rsidRPr="003C03F0" w:rsidSect="00662C56">
      <w:footerReference w:type="default" r:id="rId11"/>
      <w:footerReference w:type="first" r:id="rId12"/>
      <w:pgSz w:w="11906" w:h="16838" w:code="9"/>
      <w:pgMar w:top="1418" w:right="1418" w:bottom="1418" w:left="1418" w:header="851" w:footer="340" w:gutter="0"/>
      <w:paperSrc w:first="7" w:other="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A0A2" w14:textId="77777777" w:rsidR="00AA1487" w:rsidRDefault="00AA1487">
      <w:r>
        <w:separator/>
      </w:r>
    </w:p>
  </w:endnote>
  <w:endnote w:type="continuationSeparator" w:id="0">
    <w:p w14:paraId="72C501BA" w14:textId="77777777" w:rsidR="00AA1487" w:rsidRDefault="00AA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panose1 w:val="00000500000000000000"/>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0BC0" w14:textId="0DF0AF3A" w:rsidR="00662C56" w:rsidRDefault="00662C56">
    <w:pPr>
      <w:pStyle w:val="Footer"/>
    </w:pPr>
  </w:p>
  <w:p w14:paraId="4E66ADEE" w14:textId="531715CA" w:rsidR="00707076" w:rsidRPr="00184B9D" w:rsidRDefault="00707076" w:rsidP="00646324">
    <w:pPr>
      <w:pStyle w:val="Footer"/>
      <w:rPr>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22"/>
      <w:gridCol w:w="2648"/>
    </w:tblGrid>
    <w:tr w:rsidR="00662C56" w14:paraId="118C80BB" w14:textId="77777777" w:rsidTr="00F77AD3">
      <w:tc>
        <w:tcPr>
          <w:tcW w:w="6946" w:type="dxa"/>
        </w:tcPr>
        <w:p w14:paraId="52E2E7EB" w14:textId="77777777" w:rsidR="00662C56" w:rsidRPr="00FB02AA" w:rsidRDefault="00662C56" w:rsidP="00662C56">
          <w:pPr>
            <w:tabs>
              <w:tab w:val="left" w:pos="3000"/>
            </w:tabs>
            <w:spacing w:line="288" w:lineRule="auto"/>
            <w:rPr>
              <w:rFonts w:ascii="Barlow" w:hAnsi="Barlow"/>
              <w:color w:val="808285"/>
              <w:sz w:val="18"/>
            </w:rPr>
          </w:pPr>
          <w:r w:rsidRPr="00FB02AA">
            <w:rPr>
              <w:rFonts w:ascii="Barlow" w:hAnsi="Barlow"/>
              <w:b/>
              <w:color w:val="B61B34"/>
              <w:spacing w:val="-1"/>
              <w:sz w:val="18"/>
            </w:rPr>
            <w:t>sportnz.org.nz</w:t>
          </w:r>
        </w:p>
      </w:tc>
      <w:tc>
        <w:tcPr>
          <w:tcW w:w="2696" w:type="dxa"/>
          <w:vAlign w:val="bottom"/>
        </w:tcPr>
        <w:p w14:paraId="65E8081F" w14:textId="77777777" w:rsidR="00662C56" w:rsidRDefault="00662C56" w:rsidP="00662C56">
          <w:pPr>
            <w:spacing w:line="288" w:lineRule="auto"/>
            <w:jc w:val="right"/>
            <w:rPr>
              <w:color w:val="808285"/>
              <w:sz w:val="18"/>
            </w:rPr>
          </w:pPr>
          <w:r w:rsidRPr="00833F46">
            <w:rPr>
              <w:b/>
              <w:noProof/>
              <w:color w:val="B61B34"/>
              <w:spacing w:val="-1"/>
              <w:sz w:val="18"/>
            </w:rPr>
            <w:drawing>
              <wp:inline distT="0" distB="0" distL="0" distR="0" wp14:anchorId="05A728E6" wp14:editId="78D8B473">
                <wp:extent cx="1374060" cy="169200"/>
                <wp:effectExtent l="0" t="0" r="0" b="0"/>
                <wp:docPr id="1578718101" name="Picture 157871810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of-govt_NZ_Gov.jpg"/>
                        <pic:cNvPicPr/>
                      </pic:nvPicPr>
                      <pic:blipFill rotWithShape="1">
                        <a:blip r:embed="rId1">
                          <a:extLst>
                            <a:ext uri="{28A0092B-C50C-407E-A947-70E740481C1C}">
                              <a14:useLocalDpi xmlns:a14="http://schemas.microsoft.com/office/drawing/2010/main" val="0"/>
                            </a:ext>
                          </a:extLst>
                        </a:blip>
                        <a:srcRect l="-1" t="24791" r="7689" b="30500"/>
                        <a:stretch/>
                      </pic:blipFill>
                      <pic:spPr bwMode="auto">
                        <a:xfrm>
                          <a:off x="0" y="0"/>
                          <a:ext cx="1381027" cy="17005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3335E3" w14:textId="77777777" w:rsidR="00662C56" w:rsidRPr="002D6FE5" w:rsidRDefault="00662C56" w:rsidP="00662C56">
    <w:pPr>
      <w:pStyle w:val="Footer"/>
    </w:pPr>
  </w:p>
  <w:p w14:paraId="7F03AEF4" w14:textId="77777777" w:rsidR="00FF20AD" w:rsidRDefault="00FF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1A8A" w14:textId="77777777" w:rsidR="00AA1487" w:rsidRDefault="00AA1487">
      <w:r>
        <w:separator/>
      </w:r>
    </w:p>
  </w:footnote>
  <w:footnote w:type="continuationSeparator" w:id="0">
    <w:p w14:paraId="53E7C5CC" w14:textId="77777777" w:rsidR="00AA1487" w:rsidRDefault="00AA1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A5768"/>
    <w:multiLevelType w:val="hybridMultilevel"/>
    <w:tmpl w:val="CE6CB880"/>
    <w:lvl w:ilvl="0" w:tplc="07686206">
      <w:start w:val="1"/>
      <w:numFmt w:val="lowerRoman"/>
      <w:lvlText w:val="(%1)"/>
      <w:lvlJc w:val="left"/>
      <w:pPr>
        <w:ind w:left="1440" w:hanging="720"/>
      </w:pPr>
      <w:rPr>
        <w:rFonts w:hint="default"/>
        <w:color w:val="000000"/>
      </w:rPr>
    </w:lvl>
    <w:lvl w:ilvl="1" w:tplc="F2F2F82A" w:tentative="1">
      <w:start w:val="1"/>
      <w:numFmt w:val="lowerLetter"/>
      <w:lvlText w:val="%2."/>
      <w:lvlJc w:val="left"/>
      <w:pPr>
        <w:ind w:left="1800" w:hanging="360"/>
      </w:pPr>
      <w:rPr>
        <w:color w:val="000000"/>
      </w:rPr>
    </w:lvl>
    <w:lvl w:ilvl="2" w:tplc="31F844C4" w:tentative="1">
      <w:start w:val="1"/>
      <w:numFmt w:val="lowerRoman"/>
      <w:lvlText w:val="%3."/>
      <w:lvlJc w:val="right"/>
      <w:pPr>
        <w:ind w:left="2520" w:hanging="180"/>
      </w:pPr>
      <w:rPr>
        <w:color w:val="000000"/>
      </w:rPr>
    </w:lvl>
    <w:lvl w:ilvl="3" w:tplc="43CC4540" w:tentative="1">
      <w:start w:val="1"/>
      <w:numFmt w:val="decimal"/>
      <w:lvlText w:val="%4."/>
      <w:lvlJc w:val="left"/>
      <w:pPr>
        <w:ind w:left="3240" w:hanging="360"/>
      </w:pPr>
      <w:rPr>
        <w:color w:val="000000"/>
      </w:rPr>
    </w:lvl>
    <w:lvl w:ilvl="4" w:tplc="B330A952" w:tentative="1">
      <w:start w:val="1"/>
      <w:numFmt w:val="lowerLetter"/>
      <w:lvlText w:val="%5."/>
      <w:lvlJc w:val="left"/>
      <w:pPr>
        <w:ind w:left="3960" w:hanging="360"/>
      </w:pPr>
      <w:rPr>
        <w:color w:val="000000"/>
      </w:rPr>
    </w:lvl>
    <w:lvl w:ilvl="5" w:tplc="222AF652" w:tentative="1">
      <w:start w:val="1"/>
      <w:numFmt w:val="lowerRoman"/>
      <w:lvlText w:val="%6."/>
      <w:lvlJc w:val="right"/>
      <w:pPr>
        <w:ind w:left="4680" w:hanging="180"/>
      </w:pPr>
      <w:rPr>
        <w:color w:val="000000"/>
      </w:rPr>
    </w:lvl>
    <w:lvl w:ilvl="6" w:tplc="A0F0B526" w:tentative="1">
      <w:start w:val="1"/>
      <w:numFmt w:val="decimal"/>
      <w:lvlText w:val="%7."/>
      <w:lvlJc w:val="left"/>
      <w:pPr>
        <w:ind w:left="5400" w:hanging="360"/>
      </w:pPr>
      <w:rPr>
        <w:color w:val="000000"/>
      </w:rPr>
    </w:lvl>
    <w:lvl w:ilvl="7" w:tplc="984E5A34" w:tentative="1">
      <w:start w:val="1"/>
      <w:numFmt w:val="lowerLetter"/>
      <w:lvlText w:val="%8."/>
      <w:lvlJc w:val="left"/>
      <w:pPr>
        <w:ind w:left="6120" w:hanging="360"/>
      </w:pPr>
      <w:rPr>
        <w:color w:val="000000"/>
      </w:rPr>
    </w:lvl>
    <w:lvl w:ilvl="8" w:tplc="85AEEAB2" w:tentative="1">
      <w:start w:val="1"/>
      <w:numFmt w:val="lowerRoman"/>
      <w:lvlText w:val="%9."/>
      <w:lvlJc w:val="right"/>
      <w:pPr>
        <w:ind w:left="6840" w:hanging="180"/>
      </w:pPr>
      <w:rPr>
        <w:color w:val="000000"/>
      </w:rPr>
    </w:lvl>
  </w:abstractNum>
  <w:abstractNum w:abstractNumId="1" w15:restartNumberingAfterBreak="0">
    <w:nsid w:val="18A94E64"/>
    <w:multiLevelType w:val="hybridMultilevel"/>
    <w:tmpl w:val="BC62B222"/>
    <w:lvl w:ilvl="0" w:tplc="2760D5F4">
      <w:start w:val="1"/>
      <w:numFmt w:val="lowerRoman"/>
      <w:lvlText w:val="(%1)"/>
      <w:lvlJc w:val="left"/>
      <w:pPr>
        <w:ind w:left="1440" w:hanging="720"/>
      </w:pPr>
      <w:rPr>
        <w:rFonts w:hint="default"/>
        <w:color w:val="000000"/>
      </w:rPr>
    </w:lvl>
    <w:lvl w:ilvl="1" w:tplc="63A87F7A" w:tentative="1">
      <w:start w:val="1"/>
      <w:numFmt w:val="lowerLetter"/>
      <w:lvlText w:val="%2."/>
      <w:lvlJc w:val="left"/>
      <w:pPr>
        <w:ind w:left="1800" w:hanging="360"/>
      </w:pPr>
      <w:rPr>
        <w:color w:val="000000"/>
      </w:rPr>
    </w:lvl>
    <w:lvl w:ilvl="2" w:tplc="FEBE600E" w:tentative="1">
      <w:start w:val="1"/>
      <w:numFmt w:val="lowerRoman"/>
      <w:lvlText w:val="%3."/>
      <w:lvlJc w:val="right"/>
      <w:pPr>
        <w:ind w:left="2520" w:hanging="180"/>
      </w:pPr>
      <w:rPr>
        <w:color w:val="000000"/>
      </w:rPr>
    </w:lvl>
    <w:lvl w:ilvl="3" w:tplc="7BB6895A" w:tentative="1">
      <w:start w:val="1"/>
      <w:numFmt w:val="decimal"/>
      <w:lvlText w:val="%4."/>
      <w:lvlJc w:val="left"/>
      <w:pPr>
        <w:ind w:left="3240" w:hanging="360"/>
      </w:pPr>
      <w:rPr>
        <w:color w:val="000000"/>
      </w:rPr>
    </w:lvl>
    <w:lvl w:ilvl="4" w:tplc="CD0CE206" w:tentative="1">
      <w:start w:val="1"/>
      <w:numFmt w:val="lowerLetter"/>
      <w:lvlText w:val="%5."/>
      <w:lvlJc w:val="left"/>
      <w:pPr>
        <w:ind w:left="3960" w:hanging="360"/>
      </w:pPr>
      <w:rPr>
        <w:color w:val="000000"/>
      </w:rPr>
    </w:lvl>
    <w:lvl w:ilvl="5" w:tplc="1DD48D68" w:tentative="1">
      <w:start w:val="1"/>
      <w:numFmt w:val="lowerRoman"/>
      <w:lvlText w:val="%6."/>
      <w:lvlJc w:val="right"/>
      <w:pPr>
        <w:ind w:left="4680" w:hanging="180"/>
      </w:pPr>
      <w:rPr>
        <w:color w:val="000000"/>
      </w:rPr>
    </w:lvl>
    <w:lvl w:ilvl="6" w:tplc="F05828C2" w:tentative="1">
      <w:start w:val="1"/>
      <w:numFmt w:val="decimal"/>
      <w:lvlText w:val="%7."/>
      <w:lvlJc w:val="left"/>
      <w:pPr>
        <w:ind w:left="5400" w:hanging="360"/>
      </w:pPr>
      <w:rPr>
        <w:color w:val="000000"/>
      </w:rPr>
    </w:lvl>
    <w:lvl w:ilvl="7" w:tplc="D1728EF4" w:tentative="1">
      <w:start w:val="1"/>
      <w:numFmt w:val="lowerLetter"/>
      <w:lvlText w:val="%8."/>
      <w:lvlJc w:val="left"/>
      <w:pPr>
        <w:ind w:left="6120" w:hanging="360"/>
      </w:pPr>
      <w:rPr>
        <w:color w:val="000000"/>
      </w:rPr>
    </w:lvl>
    <w:lvl w:ilvl="8" w:tplc="38D24BA6" w:tentative="1">
      <w:start w:val="1"/>
      <w:numFmt w:val="lowerRoman"/>
      <w:lvlText w:val="%9."/>
      <w:lvlJc w:val="right"/>
      <w:pPr>
        <w:ind w:left="6840" w:hanging="180"/>
      </w:pPr>
      <w:rPr>
        <w:color w:val="000000"/>
      </w:rPr>
    </w:lvl>
  </w:abstractNum>
  <w:abstractNum w:abstractNumId="2" w15:restartNumberingAfterBreak="0">
    <w:nsid w:val="6EB55323"/>
    <w:multiLevelType w:val="hybridMultilevel"/>
    <w:tmpl w:val="415015B0"/>
    <w:lvl w:ilvl="0" w:tplc="7D88389E">
      <w:start w:val="1"/>
      <w:numFmt w:val="lowerLetter"/>
      <w:lvlText w:val="(%1)"/>
      <w:lvlJc w:val="left"/>
      <w:pPr>
        <w:ind w:left="720" w:hanging="360"/>
      </w:pPr>
      <w:rPr>
        <w:rFonts w:hint="default"/>
        <w:color w:val="000000"/>
      </w:rPr>
    </w:lvl>
    <w:lvl w:ilvl="1" w:tplc="5A3E8556" w:tentative="1">
      <w:start w:val="1"/>
      <w:numFmt w:val="lowerLetter"/>
      <w:lvlText w:val="%2."/>
      <w:lvlJc w:val="left"/>
      <w:pPr>
        <w:ind w:left="1440" w:hanging="360"/>
      </w:pPr>
      <w:rPr>
        <w:color w:val="000000"/>
      </w:rPr>
    </w:lvl>
    <w:lvl w:ilvl="2" w:tplc="65248976" w:tentative="1">
      <w:start w:val="1"/>
      <w:numFmt w:val="lowerRoman"/>
      <w:lvlText w:val="%3."/>
      <w:lvlJc w:val="right"/>
      <w:pPr>
        <w:ind w:left="2160" w:hanging="180"/>
      </w:pPr>
      <w:rPr>
        <w:color w:val="000000"/>
      </w:rPr>
    </w:lvl>
    <w:lvl w:ilvl="3" w:tplc="18281990" w:tentative="1">
      <w:start w:val="1"/>
      <w:numFmt w:val="decimal"/>
      <w:lvlText w:val="%4."/>
      <w:lvlJc w:val="left"/>
      <w:pPr>
        <w:ind w:left="2880" w:hanging="360"/>
      </w:pPr>
      <w:rPr>
        <w:color w:val="000000"/>
      </w:rPr>
    </w:lvl>
    <w:lvl w:ilvl="4" w:tplc="A4C80D8C" w:tentative="1">
      <w:start w:val="1"/>
      <w:numFmt w:val="lowerLetter"/>
      <w:lvlText w:val="%5."/>
      <w:lvlJc w:val="left"/>
      <w:pPr>
        <w:ind w:left="3600" w:hanging="360"/>
      </w:pPr>
      <w:rPr>
        <w:color w:val="000000"/>
      </w:rPr>
    </w:lvl>
    <w:lvl w:ilvl="5" w:tplc="10BEBE4A" w:tentative="1">
      <w:start w:val="1"/>
      <w:numFmt w:val="lowerRoman"/>
      <w:lvlText w:val="%6."/>
      <w:lvlJc w:val="right"/>
      <w:pPr>
        <w:ind w:left="4320" w:hanging="180"/>
      </w:pPr>
      <w:rPr>
        <w:color w:val="000000"/>
      </w:rPr>
    </w:lvl>
    <w:lvl w:ilvl="6" w:tplc="1614793E" w:tentative="1">
      <w:start w:val="1"/>
      <w:numFmt w:val="decimal"/>
      <w:lvlText w:val="%7."/>
      <w:lvlJc w:val="left"/>
      <w:pPr>
        <w:ind w:left="5040" w:hanging="360"/>
      </w:pPr>
      <w:rPr>
        <w:color w:val="000000"/>
      </w:rPr>
    </w:lvl>
    <w:lvl w:ilvl="7" w:tplc="8B4C4BC6" w:tentative="1">
      <w:start w:val="1"/>
      <w:numFmt w:val="lowerLetter"/>
      <w:lvlText w:val="%8."/>
      <w:lvlJc w:val="left"/>
      <w:pPr>
        <w:ind w:left="5760" w:hanging="360"/>
      </w:pPr>
      <w:rPr>
        <w:color w:val="000000"/>
      </w:rPr>
    </w:lvl>
    <w:lvl w:ilvl="8" w:tplc="5C56D352" w:tentative="1">
      <w:start w:val="1"/>
      <w:numFmt w:val="lowerRoman"/>
      <w:lvlText w:val="%9."/>
      <w:lvlJc w:val="right"/>
      <w:pPr>
        <w:ind w:left="6480" w:hanging="180"/>
      </w:pPr>
      <w:rPr>
        <w:color w:val="000000"/>
      </w:rPr>
    </w:lvl>
  </w:abstractNum>
  <w:num w:numId="1" w16cid:durableId="1813790132">
    <w:abstractNumId w:val="2"/>
  </w:num>
  <w:num w:numId="2" w16cid:durableId="2087725763">
    <w:abstractNumId w:val="1"/>
  </w:num>
  <w:num w:numId="3" w16cid:durableId="160433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lientNumber" w:val="394995"/>
    <w:docVar w:name="DBID" w:val="1"/>
    <w:docVar w:name="DocID" w:val="{A5540268-87C3-48CB-9697-979A0DAD7201}"/>
    <w:docVar w:name="DocumentNumber" w:val="6"/>
    <w:docVar w:name="DocumentType" w:val="162"/>
    <w:docVar w:name="FeeEarner" w:val="TSB"/>
    <w:docVar w:name="LibCatalogID" w:val="0"/>
    <w:docVar w:name="MatterDescription" w:val="NSO Pilot – NZ Cricket"/>
    <w:docVar w:name="MatterNumber" w:val="338"/>
    <w:docVar w:name="NoFooter" w:val="-1"/>
    <w:docVar w:name="PrecedentDescription" w:val="NSO Pilot – NZ Cricket"/>
    <w:docVar w:name="VersionID" w:val="B9D27C5B-195D-441E-861F-685CCE157B17"/>
    <w:docVar w:name="WordOperator" w:val="TSB"/>
  </w:docVars>
  <w:rsids>
    <w:rsidRoot w:val="00C93F24"/>
    <w:rsid w:val="00033102"/>
    <w:rsid w:val="00070860"/>
    <w:rsid w:val="000C212A"/>
    <w:rsid w:val="001766FA"/>
    <w:rsid w:val="00184B9D"/>
    <w:rsid w:val="00194E66"/>
    <w:rsid w:val="001C56C9"/>
    <w:rsid w:val="001F2A38"/>
    <w:rsid w:val="00204E01"/>
    <w:rsid w:val="002311EE"/>
    <w:rsid w:val="00272B92"/>
    <w:rsid w:val="00274B8A"/>
    <w:rsid w:val="002D0C72"/>
    <w:rsid w:val="002E7832"/>
    <w:rsid w:val="0034223E"/>
    <w:rsid w:val="003471B0"/>
    <w:rsid w:val="0035532D"/>
    <w:rsid w:val="003C03F0"/>
    <w:rsid w:val="004123E8"/>
    <w:rsid w:val="004C7867"/>
    <w:rsid w:val="00513282"/>
    <w:rsid w:val="00593221"/>
    <w:rsid w:val="0059324B"/>
    <w:rsid w:val="005D4D29"/>
    <w:rsid w:val="00646324"/>
    <w:rsid w:val="00662C56"/>
    <w:rsid w:val="006A2AF2"/>
    <w:rsid w:val="00707076"/>
    <w:rsid w:val="00780979"/>
    <w:rsid w:val="007D3952"/>
    <w:rsid w:val="00911CD5"/>
    <w:rsid w:val="00912323"/>
    <w:rsid w:val="00930D5A"/>
    <w:rsid w:val="009572B9"/>
    <w:rsid w:val="00971B2C"/>
    <w:rsid w:val="0099161A"/>
    <w:rsid w:val="009C5309"/>
    <w:rsid w:val="00A31B0A"/>
    <w:rsid w:val="00AA1487"/>
    <w:rsid w:val="00AA4DDF"/>
    <w:rsid w:val="00B641C9"/>
    <w:rsid w:val="00BB5367"/>
    <w:rsid w:val="00BB7C48"/>
    <w:rsid w:val="00C67FDD"/>
    <w:rsid w:val="00C93F24"/>
    <w:rsid w:val="00CB7479"/>
    <w:rsid w:val="00CD50E6"/>
    <w:rsid w:val="00CF486A"/>
    <w:rsid w:val="00D36AA6"/>
    <w:rsid w:val="00D63544"/>
    <w:rsid w:val="00D670D2"/>
    <w:rsid w:val="00D8334E"/>
    <w:rsid w:val="00E06566"/>
    <w:rsid w:val="00E30932"/>
    <w:rsid w:val="00FF20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87E2C"/>
  <w15:docId w15:val="{FF1B55CB-97E4-4200-A570-00DD887AD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E66"/>
    <w:pPr>
      <w:spacing w:after="170" w:line="280" w:lineRule="atLeast"/>
    </w:pPr>
    <w:rPr>
      <w:rFonts w:ascii="Arial" w:hAnsi="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E66"/>
    <w:pPr>
      <w:spacing w:after="0" w:line="240" w:lineRule="auto"/>
    </w:pPr>
    <w:rPr>
      <w:sz w:val="16"/>
    </w:rPr>
  </w:style>
  <w:style w:type="paragraph" w:styleId="Footer">
    <w:name w:val="footer"/>
    <w:basedOn w:val="Normal"/>
    <w:link w:val="FooterChar"/>
    <w:uiPriority w:val="99"/>
    <w:rsid w:val="00194E66"/>
    <w:pPr>
      <w:spacing w:after="0" w:line="240" w:lineRule="auto"/>
    </w:pPr>
    <w:rPr>
      <w:sz w:val="12"/>
    </w:rPr>
  </w:style>
  <w:style w:type="paragraph" w:customStyle="1" w:styleId="Paragraph">
    <w:name w:val="Paragraph"/>
    <w:rsid w:val="00D670D2"/>
    <w:pPr>
      <w:spacing w:after="170" w:line="280" w:lineRule="atLeast"/>
    </w:pPr>
    <w:rPr>
      <w:rFonts w:ascii="Arial" w:hAnsi="Arial"/>
      <w:lang w:eastAsia="en-GB"/>
    </w:rPr>
  </w:style>
  <w:style w:type="table" w:styleId="TableGrid">
    <w:name w:val="Table Grid"/>
    <w:basedOn w:val="TableNormal"/>
    <w:uiPriority w:val="39"/>
    <w:rsid w:val="00C9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F24"/>
    <w:pPr>
      <w:spacing w:after="160"/>
      <w:ind w:left="720"/>
      <w:contextualSpacing/>
    </w:pPr>
    <w:rPr>
      <w:szCs w:val="22"/>
      <w:lang w:eastAsia="en-US"/>
    </w:rPr>
  </w:style>
  <w:style w:type="character" w:styleId="Hyperlink">
    <w:name w:val="Hyperlink"/>
    <w:basedOn w:val="DefaultParagraphFont"/>
    <w:uiPriority w:val="99"/>
    <w:unhideWhenUsed/>
    <w:rsid w:val="00C93F24"/>
    <w:rPr>
      <w:color w:val="0000FF" w:themeColor="hyperlink"/>
      <w:u w:val="single"/>
    </w:rPr>
  </w:style>
  <w:style w:type="character" w:customStyle="1" w:styleId="HeaderChar">
    <w:name w:val="Header Char"/>
    <w:basedOn w:val="DefaultParagraphFont"/>
    <w:link w:val="Header"/>
    <w:uiPriority w:val="99"/>
    <w:rsid w:val="004C7867"/>
    <w:rPr>
      <w:rFonts w:ascii="Arial" w:hAnsi="Arial"/>
      <w:sz w:val="16"/>
      <w:lang w:eastAsia="en-GB"/>
    </w:rPr>
  </w:style>
  <w:style w:type="character" w:customStyle="1" w:styleId="FooterChar">
    <w:name w:val="Footer Char"/>
    <w:basedOn w:val="DefaultParagraphFont"/>
    <w:link w:val="Footer"/>
    <w:uiPriority w:val="99"/>
    <w:rsid w:val="00662C56"/>
    <w:rPr>
      <w:rFonts w:ascii="Arial" w:hAnsi="Arial"/>
      <w:sz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Word\Workgroup\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NA</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105" ma:contentTypeDescription="Create a new document." ma:contentTypeScope="" ma:versionID="2d6abc402a538556825b903e9c203c82">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666ca8b5fbd2a9c1215aabe7e7a46ffe"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NA"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3-2024"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union memberTypes="dms:Text">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NA"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FE65A-011B-450B-9B89-DC1C69F3835C}">
  <ds:schemaRefs>
    <ds:schemaRef ds:uri="http://purl.org/dc/dcmitype/"/>
    <ds:schemaRef ds:uri="4f9c820c-e7e2-444d-97ee-45f2b3485c1d"/>
    <ds:schemaRef ds:uri="98f2f7be-73e7-415b-92fa-448d47a74512"/>
    <ds:schemaRef ds:uri="acb26242-dc21-4420-965a-f5c1d8109808"/>
    <ds:schemaRef ds:uri="542624b3-cffc-481c-adb1-2d25bc83b1e4"/>
    <ds:schemaRef ds:uri="c91a514c-9034-4fa3-897a-8352025b26ed"/>
    <ds:schemaRef ds:uri="http://schemas.microsoft.com/office/2006/metadata/properties"/>
    <ds:schemaRef ds:uri="http://schemas.openxmlformats.org/package/2006/metadata/core-properties"/>
    <ds:schemaRef ds:uri="903c0cc6-b165-4e6c-b7f3-b1d05ba0ddc1"/>
    <ds:schemaRef ds:uri="http://schemas.microsoft.com/office/2006/documentManagement/types"/>
    <ds:schemaRef ds:uri="http://purl.org/dc/elements/1.1/"/>
    <ds:schemaRef ds:uri="15ffb055-6eb4-45a1-bc20-bf2ac0d420da"/>
    <ds:schemaRef ds:uri="725c79e5-42ce-4aa0-ac78-b6418001f0d2"/>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B3D4E8D-33DB-42E3-B8AC-826A707C2D49}">
  <ds:schemaRefs>
    <ds:schemaRef ds:uri="http://schemas.microsoft.com/sharepoint/v3/contenttype/forms"/>
  </ds:schemaRefs>
</ds:datastoreItem>
</file>

<file path=customXml/itemProps3.xml><?xml version="1.0" encoding="utf-8"?>
<ds:datastoreItem xmlns:ds="http://schemas.openxmlformats.org/officeDocument/2006/customXml" ds:itemID="{2EB704B6-D718-4BEE-9B80-D491ECADE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c0cc6-b165-4e6c-b7f3-b1d05ba0ddc1"/>
    <ds:schemaRef ds:uri="542624b3-cffc-481c-adb1-2d25bc83b1e4"/>
    <ds:schemaRef ds:uri="4f9c820c-e7e2-444d-97ee-45f2b3485c1d"/>
    <ds:schemaRef ds:uri="acb26242-dc21-4420-965a-f5c1d8109808"/>
    <ds:schemaRef ds:uri="c91a514c-9034-4fa3-897a-8352025b26ed"/>
    <ds:schemaRef ds:uri="98f2f7be-73e7-415b-92fa-448d47a74512"/>
    <ds:schemaRef ds:uri="725c79e5-42ce-4aa0-ac78-b6418001f0d2"/>
    <ds:schemaRef ds:uri="15ffb055-6eb4-45a1-bc20-bf2ac0d42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GSNormal</Template>
  <TotalTime>8</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3438</CharactersWithSpaces>
  <SharedDoc>false</SharedDoc>
  <HyperlinkBase>TSB-394995-338-6-2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Reference schedule - for back of constitution</dc:subject>
  <dc:creator>Tenille Burnside</dc:creator>
  <cp:keywords>GSbrand</cp:keywords>
  <dc:description>Checklist - New Zealand Cricket</dc:description>
  <cp:lastModifiedBy>Emily Spink</cp:lastModifiedBy>
  <cp:revision>5</cp:revision>
  <cp:lastPrinted>2000-10-27T00:36:00Z</cp:lastPrinted>
  <dcterms:created xsi:type="dcterms:W3CDTF">2023-11-05T19:27:00Z</dcterms:created>
  <dcterms:modified xsi:type="dcterms:W3CDTF">2024-03-01T01:19:00Z</dcterms:modified>
  <cp:category>3475-0481-3096-V1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
  </property>
  <property fmtid="{D5CDD505-2E9C-101B-9397-08002B2CF9AE}" pid="4" name="Region">
    <vt:lpwstr/>
  </property>
  <property fmtid="{D5CDD505-2E9C-101B-9397-08002B2CF9AE}" pid="5" name="MediaServiceImageTags">
    <vt:lpwstr/>
  </property>
  <property fmtid="{D5CDD505-2E9C-101B-9397-08002B2CF9AE}" pid="6" name="Sport">
    <vt:lpwstr/>
  </property>
</Properties>
</file>